
<file path=[Content_Types].xml><?xml version="1.0" encoding="utf-8"?>
<Types xmlns="http://schemas.openxmlformats.org/package/2006/content-types">
  <Default ContentType="image/png" Extension="png"/>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tabs>
          <w:tab w:leader="none" w:pos="1211" w:val="clear"/>
        </w:tabs>
        <w:ind/>
        <w:jc w:val="center"/>
        <w:rPr>
          <w:sz w:val="28"/>
        </w:rPr>
      </w:pPr>
      <w:r>
        <w:rPr>
          <w:sz w:val="28"/>
        </w:rPr>
        <w:t xml:space="preserve">Бизнес-план реструктуризации деятельности </w:t>
      </w:r>
      <w:r>
        <w:rPr>
          <w:sz w:val="28"/>
        </w:rPr>
        <w:br/>
      </w:r>
      <w:r>
        <w:rPr>
          <w:sz w:val="28"/>
        </w:rPr>
        <w:t>кредитного потребительского кооператива «Щит»</w:t>
      </w:r>
    </w:p>
    <w:p w14:paraId="03000000">
      <w:pPr>
        <w:tabs>
          <w:tab w:leader="none" w:pos="1211" w:val="clear"/>
        </w:tabs>
        <w:ind/>
        <w:jc w:val="center"/>
      </w:pPr>
    </w:p>
    <w:p w14:paraId="04000000">
      <w:pPr>
        <w:tabs>
          <w:tab w:leader="none" w:pos="1211" w:val="clear"/>
        </w:tabs>
        <w:ind/>
        <w:jc w:val="center"/>
      </w:pPr>
    </w:p>
    <w:p w14:paraId="05000000">
      <w:pPr>
        <w:tabs>
          <w:tab w:leader="none" w:pos="1211" w:val="clear"/>
        </w:tabs>
        <w:ind/>
        <w:rPr>
          <w:b w:val="1"/>
        </w:rPr>
      </w:pPr>
      <w:r>
        <w:rPr>
          <w:b w:val="1"/>
        </w:rPr>
        <w:t>ОПИСАНИЕ ПРЕДПРИЯТИЯ</w:t>
      </w:r>
    </w:p>
    <w:p w14:paraId="06000000">
      <w:pPr>
        <w:tabs>
          <w:tab w:leader="none" w:pos="1211" w:val="clear"/>
        </w:tabs>
        <w:ind w:firstLine="709" w:left="0"/>
        <w:jc w:val="both"/>
      </w:pPr>
      <w:r>
        <w:t>Кредитный потребительский кооператив «Щит» далее КПК «Щит» находится по адресу: Белгородская область, город Белгород, 308027, ул. Дегтярева, дом 2.</w:t>
      </w:r>
    </w:p>
    <w:p w14:paraId="07000000">
      <w:pPr>
        <w:tabs>
          <w:tab w:leader="none" w:pos="1211" w:val="clear"/>
        </w:tabs>
        <w:ind w:firstLine="709" w:left="0"/>
        <w:jc w:val="both"/>
      </w:pPr>
      <w:r>
        <w:t xml:space="preserve">Деятельность осуществляется на основании Устава и законодательства РФ в городах Белгородской области: Белгород, Строитель и Новый Оскол. Согласно Устава возможно расширение деятельности </w:t>
      </w:r>
      <w:r>
        <w:t>КПК «ЩИТ»</w:t>
      </w:r>
      <w:r>
        <w:t xml:space="preserve"> на </w:t>
      </w:r>
      <w:r>
        <w:t>территорию Курской области</w:t>
      </w:r>
      <w:r>
        <w:t>.</w:t>
      </w:r>
    </w:p>
    <w:p w14:paraId="08000000">
      <w:pPr>
        <w:tabs>
          <w:tab w:leader="none" w:pos="1211" w:val="clear"/>
        </w:tabs>
        <w:ind w:firstLine="709" w:left="0"/>
        <w:jc w:val="both"/>
      </w:pPr>
      <w:r>
        <w:t xml:space="preserve">В соответствии с законодательством России </w:t>
      </w:r>
      <w:r>
        <w:t>КПК «ЩИТ»</w:t>
      </w:r>
      <w:r>
        <w:t xml:space="preserve"> является добровольным объединением физических и юридических лиц на основе членства и по территориальному принципу, для удовлетворения финансовых потребностей членов (пайщиков). По своей природе </w:t>
      </w:r>
      <w:r>
        <w:t>КПК «ЩИТ»</w:t>
      </w:r>
      <w:r>
        <w:t xml:space="preserve"> является некоммерческой организацией, однако может извлекать прибыль для улучшения финансовой стабильности, расширения деятельности и выплачивать дивиденды пайщикам. Прибыль также может направляться на оплату стоимости </w:t>
      </w:r>
      <w:r>
        <w:t>паенакопления</w:t>
      </w:r>
      <w:r>
        <w:t xml:space="preserve"> при выбытии пайщиков и направляться в специальные Фонды кооператива (в соответствии с федеральным законом от 18 июля 2009 года «О кредитной кооперации» №190-ФЗ).</w:t>
      </w:r>
    </w:p>
    <w:p w14:paraId="09000000">
      <w:pPr>
        <w:tabs>
          <w:tab w:leader="none" w:pos="1211" w:val="clear"/>
        </w:tabs>
        <w:ind w:firstLine="709" w:left="0"/>
        <w:jc w:val="both"/>
      </w:pPr>
      <w:r>
        <w:t xml:space="preserve">Согласно Устава от 19 июня 2021 года </w:t>
      </w:r>
      <w:r>
        <w:t>КПК «ЩИТ»</w:t>
      </w:r>
      <w:r>
        <w:t xml:space="preserve"> может оказывать пайщикам дополнительные услуги: консалтинговые, экспертные, консультационные, юридические, посреднические по операциям с недвижимостью, предоставлении имущества в аренду, страховании, туризма и других.</w:t>
      </w:r>
    </w:p>
    <w:p w14:paraId="0A000000">
      <w:pPr>
        <w:tabs>
          <w:tab w:leader="none" w:pos="1211" w:val="clear"/>
        </w:tabs>
        <w:ind w:firstLine="709" w:left="0"/>
        <w:jc w:val="both"/>
      </w:pPr>
      <w:r>
        <w:t xml:space="preserve">По состоянию на конец первого полугодия 2023 года </w:t>
      </w:r>
      <w:r>
        <w:t>КПК «ЩИТ»</w:t>
      </w:r>
      <w:r>
        <w:t xml:space="preserve"> объединяет более 1500 пайщиков. С начала ведения деятельности </w:t>
      </w:r>
      <w:r>
        <w:t>КПК «ЩИТ»</w:t>
      </w:r>
      <w:r>
        <w:t xml:space="preserve"> выдал займов более чем на 2,1 млрд руб.</w:t>
      </w:r>
    </w:p>
    <w:p w14:paraId="0B000000">
      <w:pPr>
        <w:tabs>
          <w:tab w:leader="none" w:pos="1211" w:val="clear"/>
        </w:tabs>
        <w:ind w:firstLine="709" w:left="0"/>
        <w:jc w:val="both"/>
      </w:pPr>
      <w:r>
        <w:t xml:space="preserve">Структура управления деятельностью включает: </w:t>
      </w:r>
    </w:p>
    <w:p w14:paraId="0C000000">
      <w:pPr>
        <w:tabs>
          <w:tab w:leader="none" w:pos="1211" w:val="clear"/>
        </w:tabs>
        <w:ind w:firstLine="709" w:left="0"/>
        <w:jc w:val="both"/>
      </w:pPr>
      <w:r>
        <mc:AlternateContent>
          <mc:Choice Requires="wpg">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0" distR="0" distT="0" layoutInCell="true" locked="false" relativeHeight="251658240" simplePos="false">
                <wp:simplePos x="0" y="0"/>
                <wp:positionH relativeFrom="column">
                  <wp:posOffset>194945</wp:posOffset>
                </wp:positionH>
                <wp:positionV relativeFrom="paragraph">
                  <wp:posOffset>48260</wp:posOffset>
                </wp:positionV>
                <wp:extent cx="5744845" cy="1468120"/>
                <wp:wrapSquare distB="0" distL="0" distR="0" distT="0" wrapText="bothSides"/>
                <wp:docPr hidden="false" id="1" name="Picture 1"/>
                <a:graphic>
                  <a:graphicData uri="http://schemas.microsoft.com/office/word/2010/wordprocessingGroup">
                    <wpg:wgp>
                      <wpg:cNvGrpSpPr/>
                      <wpg:grpSpPr>
                        <a:xfrm flipH="false" flipV="false" rot="0">
                          <a:off x="0" y="0"/>
                          <a:ext cx="5744845" cy="1468120"/>
                          <a:chOff x="0" y="0"/>
                          <a:chExt cx="5744845" cy="1468120"/>
                        </a:xfrm>
                      </wpg:grpSpPr>
                      <wpg:grpSp>
                        <wpg:cNvGrpSpPr/>
                        <wpg:grpSpPr>
                          <a:xfrm flipH="false" flipV="false" rot="0">
                            <a:off x="0" y="0"/>
                            <a:ext cx="5744845" cy="1468120"/>
                            <a:chOff x="0" y="0"/>
                            <a:chExt cx="5744845" cy="1468120"/>
                          </a:xfrm>
                        </wpg:grpSpPr>
                        <wps:wsp>
                          <wps:cNvSpPr txBox="false"/>
                          <wps:spPr>
                            <a:xfrm flipH="false" flipV="false" rot="0">
                              <a:off x="4268309" y="551445"/>
                              <a:ext cx="1476535" cy="320205"/>
                            </a:xfrm>
                            <a:prstGeom prst="rect">
                              <a:avLst/>
                            </a:prstGeom>
                            <a:noFill/>
                            <a:ln>
                              <a:solidFill>
                                <a:srgbClr val="000000"/>
                              </a:solidFill>
                              <a:prstDash val="solid"/>
                            </a:ln>
                          </wps:spPr>
                          <wps:txbx>
                            <w:txbxContent>
                              <w:p w14:paraId="0D000000">
                                <w:pPr>
                                  <w:pStyle w:val="Style_2"/>
                                  <w:spacing w:after="0" w:line="240" w:lineRule="auto"/>
                                  <w:ind/>
                                  <w:jc w:val="center"/>
                                  <w:rPr>
                                    <w:rFonts w:ascii="Liberation Sans" w:hAnsi="Liberation Sans"/>
                                  </w:rPr>
                                </w:pPr>
                                <w:r>
                                  <w:rPr>
                                    <w:rFonts w:ascii="Liberation Sans" w:hAnsi="Liberation Sans"/>
                                    <w:color w:val="00000A"/>
                                  </w:rPr>
                                  <w:t>Служба</w:t>
                                </w:r>
                                <w:r>
                                  <w:rPr>
                                    <w:rFonts w:ascii="Liberation Sans" w:hAnsi="Liberation Sans"/>
                                    <w:color w:val="00000A"/>
                                  </w:rPr>
                                  <w:t xml:space="preserve"> </w:t>
                                </w:r>
                                <w:r>
                                  <w:rPr>
                                    <w:rFonts w:ascii="Liberation Sans" w:hAnsi="Liberation Sans"/>
                                    <w:color w:val="00000A"/>
                                  </w:rPr>
                                  <w:t>безопасности</w:t>
                                </w:r>
                              </w:p>
                              <w:p w14:paraId="0E000000">
                                <w:pPr>
                                  <w:pStyle w:val="Style_2"/>
                                  <w:spacing w:after="0" w:line="240" w:lineRule="auto"/>
                                  <w:ind/>
                                  <w:jc w:val="center"/>
                                  <w:rPr>
                                    <w:rFonts w:ascii="Liberation Sans" w:hAnsi="Liberation Sans"/>
                                  </w:rPr>
                                </w:pPr>
                                <w:r>
                                  <w:rPr>
                                    <w:rFonts w:ascii="Liberation Sans" w:hAnsi="Liberation Sans"/>
                                    <w:color w:val="00000A"/>
                                  </w:rPr>
                                  <w:t>(</w:t>
                                </w:r>
                                <w:r>
                                  <w:rPr>
                                    <w:rFonts w:ascii="Liberation Sans" w:hAnsi="Liberation Sans"/>
                                    <w:color w:val="00000A"/>
                                  </w:rPr>
                                  <w:t>2</w:t>
                                </w:r>
                                <w:r>
                                  <w:rPr>
                                    <w:rFonts w:ascii="Liberation Sans" w:hAnsi="Liberation Sans"/>
                                    <w:color w:val="00000A"/>
                                  </w:rPr>
                                  <w:t xml:space="preserve"> </w:t>
                                </w:r>
                                <w:r>
                                  <w:rPr>
                                    <w:rFonts w:ascii="Liberation Sans" w:hAnsi="Liberation Sans"/>
                                    <w:color w:val="00000A"/>
                                  </w:rPr>
                                  <w:t>специалиста</w:t>
                                </w:r>
                                <w:r>
                                  <w:rPr>
                                    <w:rFonts w:ascii="Liberation Sans" w:hAnsi="Liberation Sans"/>
                                    <w:color w:val="00000A"/>
                                  </w:rPr>
                                  <w:t>)</w:t>
                                </w:r>
                              </w:p>
                            </w:txbxContent>
                          </wps:txbx>
                          <wps:bodyPr anchor="ctr" bIns="0" lIns="0" rIns="0" tIns="0">
                            <a:spAutoFit/>
                          </wps:bodyPr>
                        </wps:wsp>
                        <wps:wsp>
                          <wps:cNvSpPr txBox="false"/>
                          <wps:spPr>
                            <a:xfrm flipH="false" flipV="false" rot="0">
                              <a:off x="1805615" y="0"/>
                              <a:ext cx="2152336" cy="159562"/>
                            </a:xfrm>
                            <a:prstGeom prst="rect">
                              <a:avLst/>
                            </a:prstGeom>
                            <a:noFill/>
                            <a:ln>
                              <a:solidFill>
                                <a:srgbClr val="000000"/>
                              </a:solidFill>
                              <a:prstDash val="solid"/>
                            </a:ln>
                          </wps:spPr>
                          <wps:txbx>
                            <w:txbxContent>
                              <w:p w14:paraId="0F000000">
                                <w:pPr>
                                  <w:pStyle w:val="Style_2"/>
                                  <w:spacing w:after="0" w:line="240" w:lineRule="auto"/>
                                  <w:ind/>
                                  <w:jc w:val="center"/>
                                  <w:rPr>
                                    <w:rFonts w:ascii="Liberation Sans" w:hAnsi="Liberation Sans"/>
                                  </w:rPr>
                                </w:pPr>
                                <w:r>
                                  <w:rPr>
                                    <w:rFonts w:ascii="Liberation Sans" w:hAnsi="Liberation Sans"/>
                                  </w:rPr>
                                  <w:t>Структура</w:t>
                                </w:r>
                                <w:r>
                                  <w:rPr>
                                    <w:rFonts w:ascii="Liberation Sans" w:hAnsi="Liberation Sans"/>
                                  </w:rPr>
                                  <w:t xml:space="preserve"> </w:t>
                                </w:r>
                                <w:r>
                                  <w:rPr>
                                    <w:rFonts w:ascii="Liberation Sans" w:hAnsi="Liberation Sans"/>
                                  </w:rPr>
                                  <w:t>управления</w:t>
                                </w:r>
                              </w:p>
                            </w:txbxContent>
                          </wps:txbx>
                          <wps:bodyPr anchor="ctr" bIns="0" lIns="0" rIns="0" tIns="0">
                            <a:spAutoFit/>
                          </wps:bodyPr>
                        </wps:wsp>
                        <wps:wsp>
                          <wps:cNvSpPr txBox="false"/>
                          <wps:spPr>
                            <a:xfrm flipH="false" flipV="false" rot="0">
                              <a:off x="2167458" y="559729"/>
                              <a:ext cx="1475815" cy="320205"/>
                            </a:xfrm>
                            <a:prstGeom prst="rect">
                              <a:avLst/>
                            </a:prstGeom>
                            <a:noFill/>
                            <a:ln>
                              <a:solidFill>
                                <a:srgbClr val="000000"/>
                              </a:solidFill>
                              <a:prstDash val="solid"/>
                            </a:ln>
                          </wps:spPr>
                          <wps:txbx>
                            <w:txbxContent>
                              <w:p w14:paraId="10000000">
                                <w:pPr>
                                  <w:pStyle w:val="Style_2"/>
                                  <w:spacing w:after="0" w:line="240" w:lineRule="auto"/>
                                  <w:ind/>
                                  <w:jc w:val="center"/>
                                  <w:rPr>
                                    <w:rFonts w:ascii="Liberation Sans" w:hAnsi="Liberation Sans"/>
                                  </w:rPr>
                                </w:pPr>
                                <w:r>
                                  <w:rPr>
                                    <w:rFonts w:ascii="Liberation Sans" w:hAnsi="Liberation Sans"/>
                                  </w:rPr>
                                  <w:t>Кредитный</w:t>
                                </w:r>
                                <w:r>
                                  <w:rPr>
                                    <w:rFonts w:ascii="Liberation Sans" w:hAnsi="Liberation Sans"/>
                                  </w:rPr>
                                  <w:t xml:space="preserve"> </w:t>
                                </w:r>
                                <w:r>
                                  <w:rPr>
                                    <w:rFonts w:ascii="Liberation Sans" w:hAnsi="Liberation Sans"/>
                                  </w:rPr>
                                  <w:t>отдел</w:t>
                                </w:r>
                              </w:p>
                              <w:p w14:paraId="11000000">
                                <w:pPr>
                                  <w:pStyle w:val="Style_2"/>
                                  <w:spacing w:after="0" w:line="240" w:lineRule="auto"/>
                                  <w:ind/>
                                  <w:jc w:val="center"/>
                                  <w:rPr>
                                    <w:rFonts w:ascii="Liberation Sans" w:hAnsi="Liberation Sans"/>
                                  </w:rPr>
                                </w:pPr>
                                <w:r>
                                  <w:rPr>
                                    <w:rFonts w:ascii="Liberation Sans" w:hAnsi="Liberation Sans"/>
                                  </w:rPr>
                                  <w:t>(</w:t>
                                </w:r>
                                <w:r>
                                  <w:rPr>
                                    <w:rFonts w:ascii="Liberation Sans" w:hAnsi="Liberation Sans"/>
                                  </w:rPr>
                                  <w:t>4</w:t>
                                </w:r>
                                <w:r>
                                  <w:rPr>
                                    <w:rFonts w:ascii="Liberation Sans" w:hAnsi="Liberation Sans"/>
                                  </w:rPr>
                                  <w:t xml:space="preserve"> </w:t>
                                </w:r>
                                <w:r>
                                  <w:rPr>
                                    <w:rFonts w:ascii="Liberation Sans" w:hAnsi="Liberation Sans"/>
                                  </w:rPr>
                                  <w:t>специалиста</w:t>
                                </w:r>
                                <w:r>
                                  <w:rPr>
                                    <w:rFonts w:ascii="Liberation Sans" w:hAnsi="Liberation Sans"/>
                                  </w:rPr>
                                  <w:t xml:space="preserve">) </w:t>
                                </w:r>
                              </w:p>
                            </w:txbxContent>
                          </wps:txbx>
                          <wps:bodyPr anchor="ctr" bIns="0" lIns="0" rIns="0" tIns="0">
                            <a:spAutoFit/>
                          </wps:bodyPr>
                        </wps:wsp>
                        <wps:wsp>
                          <wps:cNvSpPr txBox="false"/>
                          <wps:spPr>
                            <a:xfrm flipH="false" flipV="false" rot="0">
                              <a:off x="0" y="550725"/>
                              <a:ext cx="1477256" cy="320205"/>
                            </a:xfrm>
                            <a:prstGeom prst="rect">
                              <a:avLst/>
                            </a:prstGeom>
                            <a:noFill/>
                            <a:ln>
                              <a:solidFill>
                                <a:srgbClr val="000000"/>
                              </a:solidFill>
                              <a:prstDash val="solid"/>
                            </a:ln>
                          </wps:spPr>
                          <wps:txbx>
                            <w:txbxContent>
                              <w:p w14:paraId="12000000">
                                <w:pPr>
                                  <w:pStyle w:val="Style_2"/>
                                  <w:spacing w:after="0" w:line="240" w:lineRule="auto"/>
                                  <w:ind/>
                                  <w:jc w:val="center"/>
                                  <w:rPr>
                                    <w:rFonts w:ascii="Liberation Sans" w:hAnsi="Liberation Sans"/>
                                  </w:rPr>
                                </w:pPr>
                                <w:r>
                                  <w:rPr>
                                    <w:rFonts w:ascii="Liberation Sans" w:hAnsi="Liberation Sans"/>
                                  </w:rPr>
                                  <w:t>Бухгалтерская</w:t>
                                </w:r>
                                <w:r>
                                  <w:rPr>
                                    <w:rFonts w:ascii="Liberation Sans" w:hAnsi="Liberation Sans"/>
                                  </w:rPr>
                                  <w:t xml:space="preserve"> </w:t>
                                </w:r>
                                <w:r>
                                  <w:rPr>
                                    <w:rFonts w:ascii="Liberation Sans" w:hAnsi="Liberation Sans"/>
                                    <w:color w:val="00000A"/>
                                  </w:rPr>
                                  <w:t>служба</w:t>
                                </w:r>
                              </w:p>
                              <w:p w14:paraId="13000000">
                                <w:pPr>
                                  <w:pStyle w:val="Style_2"/>
                                  <w:spacing w:after="0" w:line="240" w:lineRule="auto"/>
                                  <w:ind/>
                                  <w:jc w:val="center"/>
                                  <w:rPr>
                                    <w:rFonts w:ascii="Liberation Sans" w:hAnsi="Liberation Sans"/>
                                  </w:rPr>
                                </w:pPr>
                                <w:r>
                                  <w:rPr>
                                    <w:rFonts w:ascii="Liberation Sans" w:hAnsi="Liberation Sans"/>
                                    <w:color w:val="00000A"/>
                                  </w:rPr>
                                  <w:t>(</w:t>
                                </w:r>
                                <w:r>
                                  <w:rPr>
                                    <w:rFonts w:ascii="Liberation Sans" w:hAnsi="Liberation Sans"/>
                                    <w:color w:val="00000A"/>
                                  </w:rPr>
                                  <w:t>2</w:t>
                                </w:r>
                                <w:r>
                                  <w:rPr>
                                    <w:rFonts w:ascii="Liberation Sans" w:hAnsi="Liberation Sans"/>
                                    <w:color w:val="00000A"/>
                                  </w:rPr>
                                  <w:t xml:space="preserve"> </w:t>
                                </w:r>
                                <w:r>
                                  <w:rPr>
                                    <w:rFonts w:ascii="Liberation Sans" w:hAnsi="Liberation Sans"/>
                                    <w:color w:val="00000A"/>
                                  </w:rPr>
                                  <w:t>специалиста</w:t>
                                </w:r>
                                <w:r>
                                  <w:rPr>
                                    <w:rFonts w:ascii="Liberation Sans" w:hAnsi="Liberation Sans"/>
                                    <w:color w:val="00000A"/>
                                  </w:rPr>
                                  <w:t>)</w:t>
                                </w:r>
                              </w:p>
                            </w:txbxContent>
                          </wps:txbx>
                          <wps:bodyPr anchor="ctr" bIns="0" lIns="0" rIns="0" tIns="0">
                            <a:spAutoFit/>
                          </wps:bodyPr>
                        </wps:wsp>
                        <wps:wsp>
                          <wps:cNvSpPr txBox="false"/>
                          <wps:spPr>
                            <a:xfrm flipH="false" flipV="false" rot="0">
                              <a:off x="3272430" y="1147914"/>
                              <a:ext cx="1476535" cy="320205"/>
                            </a:xfrm>
                            <a:prstGeom prst="rect">
                              <a:avLst/>
                            </a:prstGeom>
                            <a:noFill/>
                            <a:ln>
                              <a:solidFill>
                                <a:srgbClr val="000000"/>
                              </a:solidFill>
                              <a:prstDash val="solid"/>
                            </a:ln>
                          </wps:spPr>
                          <wps:txbx>
                            <w:txbxContent>
                              <w:p w14:paraId="14000000">
                                <w:pPr>
                                  <w:pStyle w:val="Style_2"/>
                                  <w:spacing w:after="0" w:line="240" w:lineRule="auto"/>
                                  <w:ind/>
                                  <w:jc w:val="center"/>
                                  <w:rPr>
                                    <w:rFonts w:ascii="Liberation Sans" w:hAnsi="Liberation Sans"/>
                                  </w:rPr>
                                </w:pPr>
                                <w:r>
                                  <w:rPr>
                                    <w:rFonts w:ascii="Liberation Sans" w:hAnsi="Liberation Sans"/>
                                  </w:rPr>
                                  <w:t>Юридический</w:t>
                                </w:r>
                                <w:r>
                                  <w:rPr>
                                    <w:rFonts w:ascii="Liberation Sans" w:hAnsi="Liberation Sans"/>
                                  </w:rPr>
                                  <w:t xml:space="preserve"> </w:t>
                                </w:r>
                                <w:r>
                                  <w:rPr>
                                    <w:rFonts w:ascii="Liberation Sans" w:hAnsi="Liberation Sans"/>
                                  </w:rPr>
                                  <w:t>отдел</w:t>
                                </w:r>
                              </w:p>
                              <w:p w14:paraId="15000000">
                                <w:pPr>
                                  <w:pStyle w:val="Style_2"/>
                                  <w:spacing w:after="0" w:line="240" w:lineRule="auto"/>
                                  <w:ind/>
                                  <w:jc w:val="center"/>
                                  <w:rPr>
                                    <w:rFonts w:ascii="Liberation Sans" w:hAnsi="Liberation Sans"/>
                                  </w:rPr>
                                </w:pPr>
                                <w:r>
                                  <w:rPr>
                                    <w:rFonts w:ascii="Liberation Sans" w:hAnsi="Liberation Sans"/>
                                  </w:rPr>
                                  <w:t>(</w:t>
                                </w:r>
                                <w:r>
                                  <w:rPr>
                                    <w:rFonts w:ascii="Liberation Sans" w:hAnsi="Liberation Sans"/>
                                  </w:rPr>
                                  <w:t>1</w:t>
                                </w:r>
                                <w:r>
                                  <w:rPr>
                                    <w:rFonts w:ascii="Liberation Sans" w:hAnsi="Liberation Sans"/>
                                  </w:rPr>
                                  <w:t xml:space="preserve"> </w:t>
                                </w:r>
                                <w:r>
                                  <w:rPr>
                                    <w:rFonts w:ascii="Liberation Sans" w:hAnsi="Liberation Sans"/>
                                  </w:rPr>
                                  <w:t>специалист</w:t>
                                </w:r>
                                <w:r>
                                  <w:rPr>
                                    <w:rFonts w:ascii="Liberation Sans" w:hAnsi="Liberation Sans"/>
                                  </w:rPr>
                                  <w:t xml:space="preserve">) </w:t>
                                </w:r>
                              </w:p>
                            </w:txbxContent>
                          </wps:txbx>
                          <wps:bodyPr anchor="ctr" bIns="0" lIns="0" rIns="0" tIns="0">
                            <a:spAutoFit/>
                          </wps:bodyPr>
                        </wps:wsp>
                        <wps:wsp>
                          <wps:cNvSpPr txBox="false"/>
                          <wps:spPr>
                            <a:xfrm flipH="false" flipV="false" rot="0">
                              <a:off x="1042684" y="1147914"/>
                              <a:ext cx="1477256" cy="320205"/>
                            </a:xfrm>
                            <a:prstGeom prst="rect">
                              <a:avLst/>
                            </a:prstGeom>
                            <a:noFill/>
                            <a:ln>
                              <a:solidFill>
                                <a:srgbClr val="000000"/>
                              </a:solidFill>
                              <a:prstDash val="solid"/>
                            </a:ln>
                          </wps:spPr>
                          <wps:txbx>
                            <w:txbxContent>
                              <w:p w14:paraId="16000000">
                                <w:pPr>
                                  <w:pStyle w:val="Style_2"/>
                                  <w:spacing w:after="0" w:line="240" w:lineRule="auto"/>
                                  <w:ind/>
                                  <w:jc w:val="center"/>
                                  <w:rPr>
                                    <w:rFonts w:ascii="Liberation Sans" w:hAnsi="Liberation Sans"/>
                                  </w:rPr>
                                </w:pPr>
                                <w:r>
                                  <w:rPr>
                                    <w:rFonts w:ascii="Liberation Sans" w:hAnsi="Liberation Sans"/>
                                  </w:rPr>
                                  <w:t xml:space="preserve">IT </w:t>
                                </w:r>
                                <w:r>
                                  <w:rPr>
                                    <w:rFonts w:ascii="Liberation Sans" w:hAnsi="Liberation Sans"/>
                                  </w:rPr>
                                  <w:t>отдел</w:t>
                                </w:r>
                              </w:p>
                              <w:p w14:paraId="17000000">
                                <w:pPr>
                                  <w:pStyle w:val="Style_2"/>
                                  <w:spacing w:after="0" w:line="240" w:lineRule="auto"/>
                                  <w:ind/>
                                  <w:jc w:val="center"/>
                                  <w:rPr>
                                    <w:rFonts w:ascii="Liberation Sans" w:hAnsi="Liberation Sans"/>
                                  </w:rPr>
                                </w:pPr>
                                <w:r>
                                  <w:rPr>
                                    <w:rFonts w:ascii="Liberation Sans" w:hAnsi="Liberation Sans"/>
                                  </w:rPr>
                                  <w:t>(</w:t>
                                </w:r>
                                <w:r>
                                  <w:rPr>
                                    <w:rFonts w:ascii="Liberation Sans" w:hAnsi="Liberation Sans"/>
                                  </w:rPr>
                                  <w:t>1</w:t>
                                </w:r>
                                <w:r>
                                  <w:rPr>
                                    <w:rFonts w:ascii="Liberation Sans" w:hAnsi="Liberation Sans"/>
                                  </w:rPr>
                                  <w:t xml:space="preserve"> </w:t>
                                </w:r>
                                <w:r>
                                  <w:rPr>
                                    <w:rFonts w:ascii="Liberation Sans" w:hAnsi="Liberation Sans"/>
                                  </w:rPr>
                                  <w:t>специалист</w:t>
                                </w:r>
                                <w:r>
                                  <w:rPr>
                                    <w:rFonts w:ascii="Liberation Sans" w:hAnsi="Liberation Sans"/>
                                  </w:rPr>
                                  <w:t>)</w:t>
                                </w:r>
                              </w:p>
                            </w:txbxContent>
                          </wps:txbx>
                          <wps:bodyPr anchor="ctr" bIns="0" lIns="0" rIns="0" tIns="0">
                            <a:spAutoFit/>
                          </wps:bodyPr>
                        </wps:wsp>
                      </wpg:grpSp>
                      <wpg:grpSp>
                        <wpg:cNvGrpSpPr/>
                        <wpg:grpSpPr>
                          <a:xfrm flipH="false" flipV="false" rot="0">
                            <a:off x="683361" y="345779"/>
                            <a:ext cx="4366241" cy="515426"/>
                            <a:chOff x="0" y="0"/>
                            <a:chExt cx="4366241" cy="515426"/>
                          </a:xfrm>
                        </wpg:grpSpPr>
                        <wps:wsp>
                          <wps:cNvSpPr txBox="false"/>
                          <wps:spPr>
                            <a:xfrm flipH="false" flipV="false" rot="0">
                              <a:off x="0" y="0"/>
                              <a:ext cx="4366241" cy="0"/>
                            </a:xfrm>
                            <a:prstGeom prst="line">
                              <a:avLst/>
                            </a:prstGeom>
                            <a:ln>
                              <a:solidFill>
                                <a:srgbClr val="3465A4"/>
                              </a:solidFill>
                              <a:prstDash val="solid"/>
                            </a:ln>
                          </wps:spPr>
                          <wps:style>
                            <a:lnRef idx="0"/>
                            <a:fillRef idx="0">
                              <a:srgbClr val="000000"/>
                            </a:fillRef>
                            <a:effectRef idx="0"/>
                            <a:fontRef idx="none"/>
                          </wps:style>
                          <wps:bodyPr bIns="45720" lIns="91440" rIns="91440" tIns="45720"/>
                        </wps:wsp>
                        <wps:wsp>
                          <wps:cNvSpPr txBox="false"/>
                          <wps:spPr>
                            <a:xfrm flipH="false" flipV="false" rot="0">
                              <a:off x="3305554" y="13326"/>
                              <a:ext cx="0" cy="501739"/>
                            </a:xfrm>
                            <a:prstGeom prst="line">
                              <a:avLst/>
                            </a:prstGeom>
                            <a:ln>
                              <a:solidFill>
                                <a:srgbClr val="3465A4"/>
                              </a:solidFill>
                              <a:prstDash val="solid"/>
                            </a:ln>
                          </wps:spPr>
                          <wps:style>
                            <a:lnRef idx="0"/>
                            <a:fillRef idx="0">
                              <a:srgbClr val="000000"/>
                            </a:fillRef>
                            <a:effectRef idx="0"/>
                            <a:fontRef idx="none"/>
                          </wps:style>
                          <wps:bodyPr bIns="45720" lIns="91440" rIns="91440" tIns="45720"/>
                        </wps:wsp>
                        <wps:wsp>
                          <wps:cNvSpPr txBox="false"/>
                          <wps:spPr>
                            <a:xfrm flipH="false" flipV="false" rot="0">
                              <a:off x="1136655" y="13326"/>
                              <a:ext cx="0" cy="501739"/>
                            </a:xfrm>
                            <a:prstGeom prst="line">
                              <a:avLst/>
                            </a:prstGeom>
                            <a:ln>
                              <a:solidFill>
                                <a:srgbClr val="3465A4"/>
                              </a:solidFill>
                              <a:prstDash val="solid"/>
                            </a:ln>
                          </wps:spPr>
                          <wps:style>
                            <a:lnRef idx="0"/>
                            <a:fillRef idx="0">
                              <a:srgbClr val="000000"/>
                            </a:fillRef>
                            <a:effectRef idx="0"/>
                            <a:fontRef idx="none"/>
                          </wps:style>
                          <wps:bodyPr bIns="45720" lIns="91440" rIns="91440" tIns="45720"/>
                        </wps:wsp>
                        <wps:wsp>
                          <wps:cNvSpPr txBox="false"/>
                          <wps:spPr>
                            <a:xfrm flipH="false" flipV="false" rot="0">
                              <a:off x="0" y="0"/>
                              <a:ext cx="0" cy="124624"/>
                            </a:xfrm>
                            <a:prstGeom prst="line">
                              <a:avLst/>
                            </a:prstGeom>
                            <a:ln>
                              <a:solidFill>
                                <a:srgbClr val="3465A4"/>
                              </a:solidFill>
                              <a:prstDash val="solid"/>
                            </a:ln>
                          </wps:spPr>
                          <wps:style>
                            <a:lnRef idx="0"/>
                            <a:fillRef idx="0">
                              <a:srgbClr val="000000"/>
                            </a:fillRef>
                            <a:effectRef idx="0"/>
                            <a:fontRef idx="none"/>
                          </wps:style>
                          <wps:bodyPr bIns="45720" lIns="91440" rIns="91440" tIns="45720"/>
                        </wps:wsp>
                        <wps:wsp>
                          <wps:cNvSpPr txBox="false"/>
                          <wps:spPr>
                            <a:xfrm flipH="false" flipV="false" rot="0">
                              <a:off x="2245587" y="6843"/>
                              <a:ext cx="0" cy="124624"/>
                            </a:xfrm>
                            <a:prstGeom prst="line">
                              <a:avLst/>
                            </a:prstGeom>
                            <a:ln>
                              <a:solidFill>
                                <a:srgbClr val="3465A4"/>
                              </a:solidFill>
                              <a:prstDash val="solid"/>
                            </a:ln>
                          </wps:spPr>
                          <wps:style>
                            <a:lnRef idx="0"/>
                            <a:fillRef idx="0">
                              <a:srgbClr val="000000"/>
                            </a:fillRef>
                            <a:effectRef idx="0"/>
                            <a:fontRef idx="none"/>
                          </wps:style>
                          <wps:bodyPr bIns="45720" lIns="91440" rIns="91440" tIns="45720"/>
                        </wps:wsp>
                        <wps:wsp>
                          <wps:cNvSpPr txBox="false"/>
                          <wps:spPr>
                            <a:xfrm flipH="false" flipV="false" rot="0">
                              <a:off x="4366241" y="0"/>
                              <a:ext cx="0" cy="124624"/>
                            </a:xfrm>
                            <a:prstGeom prst="line">
                              <a:avLst/>
                            </a:prstGeom>
                            <a:ln>
                              <a:solidFill>
                                <a:srgbClr val="3465A4"/>
                              </a:solidFill>
                              <a:prstDash val="solid"/>
                            </a:ln>
                          </wps:spPr>
                          <wps:style>
                            <a:lnRef idx="0"/>
                            <a:fillRef idx="0">
                              <a:srgbClr val="000000"/>
                            </a:fillRef>
                            <a:effectRef idx="0"/>
                            <a:fontRef idx="none"/>
                          </wps:style>
                          <wps:bodyPr bIns="45720" lIns="91440" rIns="91440" tIns="45720"/>
                        </wps:wsp>
                      </wpg:grpSp>
                    </wpg:wg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18000000">
      <w:pPr>
        <w:tabs>
          <w:tab w:leader="none" w:pos="1211" w:val="clear"/>
        </w:tabs>
        <w:ind w:firstLine="709" w:left="0"/>
        <w:jc w:val="both"/>
      </w:pPr>
    </w:p>
    <w:p w14:paraId="19000000">
      <w:pPr>
        <w:tabs>
          <w:tab w:leader="none" w:pos="1211" w:val="clear"/>
        </w:tabs>
        <w:ind w:firstLine="709" w:left="0"/>
        <w:jc w:val="both"/>
      </w:pPr>
    </w:p>
    <w:p w14:paraId="1A000000">
      <w:pPr>
        <w:tabs>
          <w:tab w:leader="none" w:pos="1211" w:val="clear"/>
        </w:tabs>
        <w:ind w:firstLine="709" w:left="0"/>
        <w:jc w:val="both"/>
      </w:pPr>
    </w:p>
    <w:p w14:paraId="1B000000">
      <w:pPr>
        <w:tabs>
          <w:tab w:leader="none" w:pos="1211" w:val="clear"/>
        </w:tabs>
        <w:spacing w:after="0" w:before="120"/>
        <w:ind/>
        <w:jc w:val="both"/>
      </w:pPr>
      <w:r>
        <w:tab/>
      </w:r>
      <w:r>
        <w:t xml:space="preserve">Вся команда управления опытная — со стажем работы в </w:t>
      </w:r>
      <w:r>
        <w:t>КПК «ЩИТ»</w:t>
      </w:r>
      <w:r>
        <w:t xml:space="preserve"> более 5 лет.</w:t>
      </w:r>
    </w:p>
    <w:p w14:paraId="1C000000">
      <w:pPr>
        <w:tabs>
          <w:tab w:leader="none" w:pos="1211" w:val="clear"/>
        </w:tabs>
        <w:spacing w:after="0" w:before="120"/>
        <w:ind/>
        <w:jc w:val="both"/>
      </w:pPr>
    </w:p>
    <w:p w14:paraId="1D000000">
      <w:pPr>
        <w:tabs>
          <w:tab w:leader="none" w:pos="1211" w:val="clear"/>
        </w:tabs>
        <w:spacing w:after="0" w:before="120"/>
        <w:ind/>
        <w:jc w:val="both"/>
      </w:pPr>
      <w:r>
        <w:tab/>
      </w:r>
      <w:r>
        <w:t xml:space="preserve">По состоянию на конец 2022 года </w:t>
      </w:r>
      <w:r>
        <w:t>КПК «ЩИТ»</w:t>
      </w:r>
      <w:r>
        <w:t xml:space="preserve"> сформированы следующие фонды:</w:t>
      </w:r>
    </w:p>
    <w:p w14:paraId="1E000000">
      <w:pPr>
        <w:tabs>
          <w:tab w:leader="none" w:pos="1211" w:val="clear"/>
        </w:tabs>
        <w:spacing w:after="0" w:before="120"/>
        <w:ind/>
        <w:jc w:val="both"/>
      </w:pPr>
      <w:r>
        <w:drawing>
          <wp:inline>
            <wp:extent cx="5426075" cy="2737485"/>
            <wp:effectExtent b="0" l="0" r="0" t="0"/>
            <wp:docPr hidden="false" id="2" name="Picture 2"/>
            <a:graphic>
              <a:graphicData uri="http://schemas.openxmlformats.org/drawingml/2006/picture">
                <pic:pic>
                  <pic:nvPicPr>
                    <pic:cNvPr hidden="false" id="3" name="Picture 3"/>
                    <pic:cNvPicPr preferRelativeResize="true"/>
                  </pic:nvPicPr>
                  <pic:blipFill>
                    <a:blip r:embed="rId2"/>
                    <a:srcRect b="0" l="0" r="0" t="0"/>
                    <a:stretch/>
                  </pic:blipFill>
                  <pic:spPr>
                    <a:xfrm flipH="false" flipV="false" rot="0">
                      <a:ext cx="5426075" cy="2737485"/>
                    </a:xfrm>
                    <a:prstGeom prst="rect"/>
                  </pic:spPr>
                </pic:pic>
              </a:graphicData>
            </a:graphic>
          </wp:inline>
        </w:drawing>
      </w:r>
    </w:p>
    <w:p w14:paraId="1F000000">
      <w:pPr>
        <w:tabs>
          <w:tab w:leader="none" w:pos="1211" w:val="clear"/>
        </w:tabs>
        <w:spacing w:after="0" w:before="120"/>
        <w:ind/>
        <w:jc w:val="both"/>
      </w:pPr>
      <w:r>
        <w:tab/>
      </w:r>
      <w:r>
        <w:t xml:space="preserve">За 2022 год </w:t>
      </w:r>
      <w:r>
        <w:t>КПК «ЩИТ»</w:t>
      </w:r>
      <w:r>
        <w:t xml:space="preserve"> сумело, не смотря на отток пайщиков, нарастить Паевой фонд к концу года и сократить дефицит Целевых средств. При этом Резервный фонд изменился незначительно. </w:t>
      </w:r>
    </w:p>
    <w:p w14:paraId="20000000">
      <w:pPr>
        <w:tabs>
          <w:tab w:leader="none" w:pos="1211" w:val="clear"/>
        </w:tabs>
        <w:spacing w:after="0" w:before="120"/>
        <w:ind/>
        <w:jc w:val="both"/>
      </w:pPr>
      <w:r>
        <w:tab/>
      </w:r>
      <w:r>
        <w:t>Эти изменения произошли в сложных условиях изменения учетной ставки Банка России и значительного колебания валютного курса</w:t>
      </w:r>
      <w:r>
        <w:t xml:space="preserve"> в первой половине 2022 года</w:t>
      </w:r>
      <w:r>
        <w:t xml:space="preserve">. Произошедшее повлекло серьезные изменения на финансовом рынке России в виде сокращения объемов заимствований, уход денег на товарный рынок и отток вкладчиков. </w:t>
      </w:r>
    </w:p>
    <w:p w14:paraId="21000000">
      <w:pPr>
        <w:tabs>
          <w:tab w:leader="none" w:pos="1211" w:val="clear"/>
        </w:tabs>
        <w:ind w:firstLine="709" w:left="0"/>
        <w:jc w:val="both"/>
      </w:pPr>
      <w:r>
        <w:t xml:space="preserve">На финансовом рынке кредитные потребительские кооперативы конкурируют с кредитными и </w:t>
      </w:r>
      <w:r>
        <w:t>микрофинансовыми</w:t>
      </w:r>
      <w:r>
        <w:t xml:space="preserve"> организациями.</w:t>
      </w:r>
      <w:r>
        <w:t xml:space="preserve"> </w:t>
      </w:r>
    </w:p>
    <w:p w14:paraId="22000000">
      <w:pPr>
        <w:tabs>
          <w:tab w:leader="none" w:pos="1211" w:val="clear"/>
        </w:tabs>
        <w:ind w:firstLine="709" w:left="0"/>
        <w:jc w:val="both"/>
      </w:pPr>
      <w:r>
        <w:t>К преимуществам кредитных потребительских кооперативов принято относить</w:t>
      </w:r>
      <w:r>
        <w:t>:</w:t>
      </w:r>
    </w:p>
    <w:p w14:paraId="23000000">
      <w:pPr>
        <w:tabs>
          <w:tab w:leader="none" w:pos="1211" w:val="clear"/>
        </w:tabs>
        <w:ind w:firstLine="709" w:left="0"/>
        <w:jc w:val="both"/>
      </w:pPr>
      <w:r>
        <w:rPr>
          <w:b w:val="1"/>
        </w:rPr>
        <w:t xml:space="preserve">Легкие займы. </w:t>
      </w:r>
      <w:r>
        <w:t>Поскольку КПК создается как сообщество взаимопомощи, то и договариваться о займах проще. Как правило, кредитные кооперативы не требуют поручителей или большого количества справок, разве что при крупной сумме могут попросить предоставить дополнительные документы. Кооператив изначально создается, чтобы помогать своим участникам, а не </w:t>
      </w:r>
      <w:r>
        <w:fldChar w:fldCharType="begin"/>
      </w:r>
      <w:r>
        <w:instrText>HYPERLINK "https://www.banki.ru/news/daytheme/?id=10980254" \o "https://www.banki.ru/news/daytheme/?id=10980254"</w:instrText>
      </w:r>
      <w:r>
        <w:fldChar w:fldCharType="separate"/>
      </w:r>
      <w:r>
        <w:t>продавать долг коллекторам</w:t>
      </w:r>
      <w:r>
        <w:fldChar w:fldCharType="end"/>
      </w:r>
      <w:r>
        <w:t>.</w:t>
      </w:r>
    </w:p>
    <w:p w14:paraId="24000000">
      <w:pPr>
        <w:tabs>
          <w:tab w:leader="none" w:pos="1211" w:val="clear"/>
        </w:tabs>
        <w:ind w:firstLine="709" w:left="0"/>
        <w:jc w:val="both"/>
      </w:pPr>
      <w:r>
        <w:rPr>
          <w:b w:val="1"/>
        </w:rPr>
        <w:t xml:space="preserve">Выгодные вложения. </w:t>
      </w:r>
      <w:r>
        <w:t>КПК могут принять небольшие суммы сбережений, при этом доход по ним обычно больше, чем по </w:t>
      </w:r>
      <w:r>
        <w:fldChar w:fldCharType="begin"/>
      </w:r>
      <w:r>
        <w:instrText>HYPERLINK "https://www.banki.ru/products/deposits/?source=news_text_daytheme_10988107" \o "https://www.banki.ru/products/deposits/?source=news_text_daytheme_10988107"</w:instrText>
      </w:r>
      <w:r>
        <w:fldChar w:fldCharType="separate"/>
      </w:r>
      <w:r>
        <w:t>вкладам в банке</w:t>
      </w:r>
      <w:r>
        <w:fldChar w:fldCharType="end"/>
      </w:r>
      <w:r>
        <w:t>.</w:t>
      </w:r>
    </w:p>
    <w:p w14:paraId="25000000">
      <w:pPr>
        <w:tabs>
          <w:tab w:leader="none" w:pos="1211" w:val="clear"/>
        </w:tabs>
        <w:ind w:firstLine="709" w:left="0"/>
        <w:jc w:val="both"/>
      </w:pPr>
      <w:r>
        <w:t>К недостаткам относят:</w:t>
      </w:r>
    </w:p>
    <w:p w14:paraId="26000000">
      <w:pPr>
        <w:tabs>
          <w:tab w:leader="none" w:pos="1211" w:val="clear"/>
        </w:tabs>
        <w:ind w:firstLine="709" w:left="0"/>
        <w:jc w:val="both"/>
      </w:pPr>
      <w:r>
        <w:rPr>
          <w:b w:val="1"/>
        </w:rPr>
        <w:t>Невыгодные займы</w:t>
      </w:r>
      <w:r>
        <w:t>. Чтобы обеспечить высокий процент дохода и компенсировать риски, КПК выдают деньги под больший процент, чем в банке. Впрочем, если сравнивать КПК не с банками, а с МФО, то проценты зачастую ниже.</w:t>
      </w:r>
    </w:p>
    <w:p w14:paraId="27000000">
      <w:pPr>
        <w:tabs>
          <w:tab w:leader="none" w:pos="1211" w:val="clear"/>
        </w:tabs>
        <w:ind w:firstLine="709" w:left="0"/>
        <w:jc w:val="both"/>
      </w:pPr>
      <w:r>
        <w:rPr>
          <w:b w:val="1"/>
        </w:rPr>
        <w:t xml:space="preserve">Ответственность. </w:t>
      </w:r>
      <w:r>
        <w:t>Поскольку участники кредитного кооператива управляют им сами и все решения принимают совместно, ответственность за эти решения тоже лежит на них. Если в результате принятых решений КПК будет нести убытки, придется вносить дополнительные членские взносы, чтобы их покрыть.</w:t>
      </w:r>
    </w:p>
    <w:p w14:paraId="28000000">
      <w:pPr>
        <w:tabs>
          <w:tab w:leader="none" w:pos="1211" w:val="clear"/>
        </w:tabs>
        <w:ind w:firstLine="709" w:left="0"/>
        <w:jc w:val="both"/>
        <w:rPr>
          <w:b w:val="1"/>
        </w:rPr>
      </w:pPr>
      <w:r>
        <w:rPr>
          <w:b w:val="1"/>
        </w:rPr>
        <w:t xml:space="preserve">Риски. </w:t>
      </w:r>
      <w:r>
        <w:t>Государственная система страхования банковских вкладов не распространяется на сбережения пайщиков, а компенсации саморегулируемых организаций и страховки не гарантируют полный возврат вложенных средств.</w:t>
      </w:r>
    </w:p>
    <w:p w14:paraId="29000000">
      <w:pPr>
        <w:tabs>
          <w:tab w:leader="none" w:pos="1211" w:val="clear"/>
        </w:tabs>
        <w:spacing w:after="0" w:before="120"/>
        <w:ind/>
        <w:jc w:val="both"/>
        <w:rPr>
          <w:sz w:val="24"/>
        </w:rPr>
      </w:pPr>
    </w:p>
    <w:p w14:paraId="2A000000">
      <w:pPr>
        <w:tabs>
          <w:tab w:leader="none" w:pos="1211" w:val="clear"/>
        </w:tabs>
        <w:spacing w:after="0" w:before="120"/>
        <w:ind/>
        <w:jc w:val="both"/>
      </w:pPr>
      <w:r>
        <w:rPr>
          <w:b w:val="1"/>
          <w:sz w:val="24"/>
        </w:rPr>
        <w:t>ОПИСАНИЕ ПРОДУКЦИИ (УСЛУГ)</w:t>
      </w:r>
    </w:p>
    <w:p w14:paraId="2B000000">
      <w:pPr>
        <w:tabs>
          <w:tab w:leader="none" w:pos="1211" w:val="clear"/>
        </w:tabs>
        <w:ind w:firstLine="709" w:left="0"/>
        <w:jc w:val="both"/>
      </w:pPr>
    </w:p>
    <w:p w14:paraId="2C000000">
      <w:pPr>
        <w:tabs>
          <w:tab w:leader="none" w:pos="1211" w:val="clear"/>
        </w:tabs>
        <w:ind w:firstLine="709" w:left="0"/>
        <w:jc w:val="both"/>
      </w:pPr>
      <w:r>
        <w:t xml:space="preserve">Основными направлениями деятельности является выдача целевых и </w:t>
      </w:r>
      <w:r>
        <w:t>потребительских займов пайщикам, как на долгосрочной, так и краткосрочной основе.</w:t>
      </w:r>
    </w:p>
    <w:p w14:paraId="2D000000">
      <w:pPr>
        <w:tabs>
          <w:tab w:leader="none" w:pos="1211" w:val="clear"/>
        </w:tabs>
        <w:ind w:firstLine="709" w:left="0"/>
        <w:jc w:val="both"/>
      </w:pPr>
      <w:r>
        <w:t xml:space="preserve">Негативные изменения на финансовом рынке в 2022 году привели к значительному снижению спроса на долгосрочные займы. В то же время выросло число займов «до зарплаты» и «потребительские» (без указания цели). </w:t>
      </w:r>
      <w:r>
        <w:t xml:space="preserve">По состоянию на конец 2023 года Кредитный портфель </w:t>
      </w:r>
      <w:r>
        <w:t>КПК «ЩИТ»</w:t>
      </w:r>
      <w:r>
        <w:t xml:space="preserve"> имеет следующую структуру:</w:t>
      </w:r>
    </w:p>
    <w:p w14:paraId="2E000000">
      <w:pPr>
        <w:tabs>
          <w:tab w:leader="none" w:pos="1211" w:val="clear"/>
        </w:tabs>
        <w:ind w:firstLine="709" w:left="0"/>
        <w:jc w:val="both"/>
      </w:pPr>
      <w:r>
        <w:drawing>
          <wp:inline>
            <wp:extent cx="5629523" cy="2555964"/>
            <wp:effectExtent b="0" l="0" r="0" t="0"/>
            <wp:docPr hidden="false" id="4" name="Picture 4"/>
            <a:graphic>
              <a:graphicData uri="http://schemas.openxmlformats.org/drawingml/2006/picture">
                <pic:pic>
                  <pic:nvPicPr>
                    <pic:cNvPr hidden="false" id="5" name="Picture 5"/>
                    <pic:cNvPicPr preferRelativeResize="true"/>
                  </pic:nvPicPr>
                  <pic:blipFill>
                    <a:blip r:embed="rId3"/>
                    <a:srcRect b="0" l="0" r="0" t="0"/>
                    <a:stretch/>
                  </pic:blipFill>
                  <pic:spPr>
                    <a:xfrm flipH="false" flipV="false" rot="0">
                      <a:ext cx="5629523" cy="2555964"/>
                    </a:xfrm>
                    <a:prstGeom prst="rect"/>
                  </pic:spPr>
                </pic:pic>
              </a:graphicData>
            </a:graphic>
          </wp:inline>
        </w:drawing>
      </w:r>
    </w:p>
    <w:p w14:paraId="2F000000">
      <w:pPr>
        <w:tabs>
          <w:tab w:leader="none" w:pos="1211" w:val="clear"/>
        </w:tabs>
        <w:ind w:firstLine="709" w:left="0"/>
        <w:jc w:val="both"/>
      </w:pPr>
      <w:r>
        <w:t xml:space="preserve">Отток пайщиков повлек выплаты из фондов </w:t>
      </w:r>
      <w:r>
        <w:t>КПК «ЩИТ»</w:t>
      </w:r>
      <w:r>
        <w:t>:</w:t>
      </w:r>
    </w:p>
    <w:p w14:paraId="30000000">
      <w:pPr>
        <w:tabs>
          <w:tab w:leader="none" w:pos="1211" w:val="clear"/>
        </w:tabs>
        <w:ind w:firstLine="709" w:left="0"/>
        <w:jc w:val="both"/>
      </w:pPr>
      <w:r>
        <w:drawing>
          <wp:inline>
            <wp:extent cx="5581650" cy="3381375"/>
            <wp:docPr hidden="false" id="6" name="Picture 6"/>
            <a:graphic>
              <a:graphicData uri="http://schemas.openxmlformats.org/drawingml/2006/picture">
                <pic:pic>
                  <pic:nvPicPr>
                    <pic:cNvPr hidden="false" id="7" name="Picture 7"/>
                    <pic:cNvPicPr preferRelativeResize="true"/>
                  </pic:nvPicPr>
                  <pic:blipFill>
                    <a:blip/>
                    <a:stretch/>
                  </pic:blipFill>
                  <pic:spPr>
                    <a:xfrm flipH="false" flipV="false" rot="0">
                      <a:ext cx="5581650" cy="3381375"/>
                    </a:xfrm>
                    <a:prstGeom prst="rect"/>
                  </pic:spPr>
                </pic:pic>
              </a:graphicData>
            </a:graphic>
          </wp:inline>
        </w:drawing>
      </w:r>
    </w:p>
    <w:p w14:paraId="31000000">
      <w:pPr>
        <w:tabs>
          <w:tab w:leader="none" w:pos="1211" w:val="clear"/>
        </w:tabs>
        <w:ind w:firstLine="709" w:left="0"/>
        <w:jc w:val="both"/>
      </w:pPr>
      <w:r>
        <w:t xml:space="preserve">Представленная на графике выплата процентов за пользование средствами пайщиков приведена в номинальном, а не годовом выражении. Размещение средств в </w:t>
      </w:r>
      <w:r>
        <w:t>КПК «ЩИТ»</w:t>
      </w:r>
      <w:r>
        <w:t xml:space="preserve"> позволило пайщикам получить процентную доходность в годовом исчислении выше банковского депозита и рынка ценных бумаг.</w:t>
      </w:r>
    </w:p>
    <w:p w14:paraId="32000000">
      <w:pPr>
        <w:tabs>
          <w:tab w:leader="none" w:pos="1211" w:val="clear"/>
        </w:tabs>
        <w:ind w:firstLine="709" w:left="0"/>
        <w:jc w:val="both"/>
      </w:pPr>
      <w:r>
        <w:t xml:space="preserve">Эти выплаты также позволили привлечь средства новых вкладчиков на краткосрочной основе к концу года. Этому способствовало и укрепление курса рубля во второй половине 2022 года. В то же время сокращение срока размещения средств пайщиками в </w:t>
      </w:r>
      <w:r>
        <w:t>КПК «ЩИТ»</w:t>
      </w:r>
      <w:r>
        <w:t xml:space="preserve"> создает риски ликвидности в 2023 году. Для их сокращения необходимо привлечение «длинных денег» пайщиков - юридических лиц.</w:t>
      </w:r>
    </w:p>
    <w:p w14:paraId="33000000">
      <w:pPr>
        <w:tabs>
          <w:tab w:leader="none" w:pos="1211" w:val="clear"/>
        </w:tabs>
        <w:ind w:firstLine="709" w:left="0"/>
        <w:jc w:val="both"/>
      </w:pPr>
      <w:r>
        <w:t xml:space="preserve">Маневрирование средствами фондов специального назначения и активное использование не процентных источников дохода позволило улучшить финансовые показатели деятельности </w:t>
      </w:r>
      <w:r>
        <w:t>КПК «ЩИТ»</w:t>
      </w:r>
      <w:r>
        <w:t>.</w:t>
      </w:r>
    </w:p>
    <w:p w14:paraId="34000000">
      <w:pPr>
        <w:tabs>
          <w:tab w:leader="none" w:pos="1211" w:val="clear"/>
        </w:tabs>
        <w:ind/>
        <w:jc w:val="both"/>
      </w:pPr>
      <w:r>
        <w:drawing>
          <wp:inline>
            <wp:extent cx="6102881" cy="3636259"/>
            <wp:effectExtent b="0" l="0" r="0" t="0"/>
            <wp:docPr hidden="false" id="8" name="Picture 8"/>
            <a:graphic>
              <a:graphicData uri="http://schemas.openxmlformats.org/drawingml/2006/picture">
                <pic:pic>
                  <pic:nvPicPr>
                    <pic:cNvPr hidden="false" id="9" name="Picture 9"/>
                    <pic:cNvPicPr preferRelativeResize="true"/>
                  </pic:nvPicPr>
                  <pic:blipFill>
                    <a:blip r:embed="rId4"/>
                    <a:srcRect b="0" l="0" r="0" t="0"/>
                    <a:stretch/>
                  </pic:blipFill>
                  <pic:spPr>
                    <a:xfrm flipH="false" flipV="false" rot="0">
                      <a:ext cx="6102881" cy="3636259"/>
                    </a:xfrm>
                    <a:prstGeom prst="rect"/>
                  </pic:spPr>
                </pic:pic>
              </a:graphicData>
            </a:graphic>
          </wp:inline>
        </w:drawing>
      </w:r>
    </w:p>
    <w:p w14:paraId="35000000">
      <w:pPr>
        <w:tabs>
          <w:tab w:leader="none" w:pos="1211" w:val="clear"/>
        </w:tabs>
        <w:ind w:firstLine="709" w:left="0"/>
        <w:jc w:val="both"/>
      </w:pPr>
      <w:r>
        <w:t>В итоге удалось сократить убыток до налогообложения почти в пять раз.</w:t>
      </w:r>
    </w:p>
    <w:p w14:paraId="36000000">
      <w:pPr>
        <w:tabs>
          <w:tab w:leader="none" w:pos="1211" w:val="clear"/>
        </w:tabs>
        <w:ind w:firstLine="709" w:left="0"/>
        <w:jc w:val="both"/>
      </w:pPr>
      <w:r>
        <w:t xml:space="preserve">На данную динамику финансового результата повлияли, в </w:t>
      </w:r>
      <w:r>
        <w:t>т.ч</w:t>
      </w:r>
      <w:r>
        <w:t xml:space="preserve">.  и преимущества кредитных потребительских кооперативов на финансовом рынке. </w:t>
      </w:r>
    </w:p>
    <w:p w14:paraId="37000000">
      <w:pPr>
        <w:tabs>
          <w:tab w:leader="none" w:pos="1211" w:val="clear"/>
        </w:tabs>
        <w:spacing w:after="0" w:before="120"/>
        <w:ind/>
        <w:jc w:val="both"/>
        <w:rPr>
          <w:b w:val="1"/>
          <w:sz w:val="24"/>
        </w:rPr>
      </w:pPr>
    </w:p>
    <w:p w14:paraId="38000000">
      <w:pPr>
        <w:tabs>
          <w:tab w:leader="none" w:pos="1211" w:val="clear"/>
        </w:tabs>
        <w:spacing w:after="0" w:before="120"/>
        <w:ind/>
        <w:jc w:val="both"/>
      </w:pPr>
      <w:r>
        <w:rPr>
          <w:b w:val="1"/>
          <w:sz w:val="24"/>
        </w:rPr>
        <w:t>АНАЛИЗ РЫНКА</w:t>
      </w:r>
    </w:p>
    <w:p w14:paraId="39000000">
      <w:pPr>
        <w:tabs>
          <w:tab w:leader="none" w:pos="1211" w:val="clear"/>
        </w:tabs>
        <w:spacing w:after="0" w:before="120"/>
        <w:ind/>
        <w:jc w:val="both"/>
        <w:rPr>
          <w:rFonts w:ascii="Times New Roman" w:hAnsi="Times New Roman"/>
          <w:color w:val="000000"/>
          <w:sz w:val="28"/>
        </w:rPr>
      </w:pPr>
    </w:p>
    <w:p w14:paraId="3A000000">
      <w:pPr>
        <w:tabs>
          <w:tab w:leader="none" w:pos="1211" w:val="clear"/>
        </w:tabs>
        <w:ind w:firstLine="709" w:left="0"/>
        <w:jc w:val="both"/>
      </w:pPr>
      <w:r>
        <w:t>По данным Банка России рынок кредитных потребительских кооперативов характеризуется следующими тенденциями.</w:t>
      </w:r>
    </w:p>
    <w:p w14:paraId="3B000000">
      <w:pPr>
        <w:tabs>
          <w:tab w:leader="none" w:pos="1211" w:val="clear"/>
        </w:tabs>
        <w:ind w:firstLine="709" w:left="0"/>
        <w:jc w:val="both"/>
      </w:pPr>
      <w:r>
        <w:t>В течение 2021 — первого полугодия 2022 года волатильность в экономике привела к замедлению оборотов рынка в I квартале 2022 года:</w:t>
      </w:r>
    </w:p>
    <w:p w14:paraId="3C000000">
      <w:pPr>
        <w:tabs>
          <w:tab w:leader="none" w:pos="1211" w:val="clear"/>
        </w:tabs>
        <w:ind w:firstLine="709" w:left="0"/>
        <w:jc w:val="both"/>
      </w:pPr>
      <w:r>
        <w:t>в I квартале 2022 года объем выданных займов уменьшился на 19,5% по сравнению с IV кварталом 2021 года, что связано с рядом факторов: сезонностью, более осторожным поведением заемщиков и самих организаций, повышением процентных ставок;</w:t>
      </w:r>
    </w:p>
    <w:p w14:paraId="3D000000">
      <w:pPr>
        <w:tabs>
          <w:tab w:leader="none" w:pos="1211" w:val="clear"/>
        </w:tabs>
        <w:ind w:firstLine="709" w:left="0"/>
        <w:jc w:val="both"/>
      </w:pPr>
      <w:r>
        <w:t>в II квартале 2022 года показатели рынка восстановились: выдачи выросли на 19,4% — до 22,7 млрд рублей, портфель — на 3,2%, — до 44,8 млрд рублей;</w:t>
      </w:r>
    </w:p>
    <w:p w14:paraId="3E000000">
      <w:pPr>
        <w:tabs>
          <w:tab w:leader="none" w:pos="1211" w:val="clear"/>
        </w:tabs>
        <w:ind w:firstLine="709" w:left="0"/>
        <w:jc w:val="both"/>
      </w:pPr>
      <w:r>
        <w:t>основная доля портфеля (около 85%) по-прежнему приходится на физических лиц, доля пайщиков КПК, оформивших заем, — 40%.</w:t>
      </w:r>
    </w:p>
    <w:p w14:paraId="3F000000">
      <w:pPr>
        <w:tabs>
          <w:tab w:leader="none" w:pos="1211" w:val="clear"/>
        </w:tabs>
        <w:ind w:firstLine="709" w:left="0"/>
        <w:jc w:val="both"/>
      </w:pPr>
      <w:r>
        <w:drawing>
          <wp:anchor allowOverlap="true" behindDoc="false" distB="0" distL="0" distR="0" distT="0" layoutInCell="true" locked="false" relativeHeight="251658240" simplePos="false">
            <wp:simplePos x="0" y="0"/>
            <wp:positionH relativeFrom="column">
              <wp:posOffset>68250</wp:posOffset>
            </wp:positionH>
            <wp:positionV relativeFrom="paragraph">
              <wp:posOffset>727253</wp:posOffset>
            </wp:positionV>
            <wp:extent cx="5713095" cy="2647950"/>
            <wp:effectExtent b="0" l="0" r="0" t="0"/>
            <wp:wrapSquare distB="0" distL="0" distR="0" distT="0" wrapText="bothSides"/>
            <wp:docPr hidden="false" id="10" name="Picture 10"/>
            <a:graphic>
              <a:graphicData uri="http://schemas.openxmlformats.org/drawingml/2006/picture">
                <pic:pic>
                  <pic:nvPicPr>
                    <pic:cNvPr hidden="false" id="11" name="Picture 11"/>
                    <pic:cNvPicPr preferRelativeResize="true"/>
                  </pic:nvPicPr>
                  <pic:blipFill>
                    <a:blip r:embed="rId5"/>
                    <a:stretch/>
                  </pic:blipFill>
                  <pic:spPr>
                    <a:xfrm flipH="false" flipV="false" rot="0">
                      <a:ext cx="5713095" cy="2647950"/>
                    </a:xfrm>
                    <a:prstGeom prst="rect"/>
                  </pic:spPr>
                </pic:pic>
              </a:graphicData>
            </a:graphic>
          </wp:anchor>
        </w:drawing>
      </w:r>
      <w:r>
        <w:t>Замедление темпов развития деятельности КПК в первом полугодии 2022 года было обусловлено несколькими факторами, которые оказали как прямое влияние на КПК, так и косвенное — через влияние на членов кооперативов.</w:t>
      </w:r>
    </w:p>
    <w:p w14:paraId="40000000">
      <w:pPr>
        <w:tabs>
          <w:tab w:leader="none" w:pos="1211" w:val="clear"/>
        </w:tabs>
        <w:ind w:firstLine="709" w:left="0"/>
        <w:jc w:val="both"/>
      </w:pPr>
    </w:p>
    <w:p w14:paraId="41000000">
      <w:pPr>
        <w:tabs>
          <w:tab w:leader="none" w:pos="1211" w:val="clear"/>
        </w:tabs>
        <w:ind w:firstLine="709" w:left="0"/>
        <w:jc w:val="both"/>
      </w:pPr>
      <w:r>
        <w:t xml:space="preserve">Еще одним </w:t>
      </w:r>
      <w:r>
        <w:t>фактором</w:t>
      </w:r>
      <w:r>
        <w:t xml:space="preserve"> серьезно повлиявшим на деятельность кредитных-потребительских кооперативов стал отток пайщиков в первом полугодии 2022 года (после начала СВО).</w:t>
      </w:r>
    </w:p>
    <w:p w14:paraId="42000000">
      <w:pPr>
        <w:sectPr>
          <w:headerReference r:id="rId1" w:type="default"/>
          <w:type w:val="continuous"/>
          <w:pgSz w:h="16838" w:orient="portrait" w:w="11906"/>
          <w:pgMar w:bottom="1134" w:footer="0" w:gutter="0" w:header="709" w:left="1701" w:right="850" w:top="1134"/>
        </w:sectPr>
      </w:pPr>
    </w:p>
    <w:p w14:paraId="43000000">
      <w:pPr>
        <w:pStyle w:val="Style_3"/>
      </w:pPr>
      <w:r>
        <w:drawing>
          <wp:anchor allowOverlap="true" behindDoc="false" distB="0" distL="0" distR="0" distT="0" layoutInCell="true" locked="false" relativeHeight="251658240" simplePos="false">
            <wp:simplePos x="0" y="0"/>
            <wp:positionH relativeFrom="column">
              <wp:posOffset>1905</wp:posOffset>
            </wp:positionH>
            <wp:positionV relativeFrom="paragraph">
              <wp:posOffset>3810</wp:posOffset>
            </wp:positionV>
            <wp:extent cx="5844540" cy="2653030"/>
            <wp:effectExtent b="0" l="0" r="0" t="0"/>
            <wp:wrapSquare distB="0" distL="0" distR="0" distT="0" wrapText="bothSides"/>
            <wp:docPr hidden="false" id="12" name="Picture 12"/>
            <a:graphic>
              <a:graphicData uri="http://schemas.openxmlformats.org/drawingml/2006/picture">
                <pic:pic>
                  <pic:nvPicPr>
                    <pic:cNvPr hidden="false" id="13" name="Picture 13"/>
                    <pic:cNvPicPr preferRelativeResize="true"/>
                  </pic:nvPicPr>
                  <pic:blipFill>
                    <a:blip r:embed="rId6"/>
                    <a:stretch/>
                  </pic:blipFill>
                  <pic:spPr>
                    <a:xfrm flipH="false" flipV="false" rot="0">
                      <a:ext cx="5844540" cy="2653030"/>
                    </a:xfrm>
                    <a:prstGeom prst="rect"/>
                  </pic:spPr>
                </pic:pic>
              </a:graphicData>
            </a:graphic>
          </wp:anchor>
        </w:drawing>
      </w:r>
      <w:r>
        <w:t>​</w:t>
      </w:r>
    </w:p>
    <w:p w14:paraId="44000000">
      <w:pPr>
        <w:sectPr>
          <w:type w:val="continuous"/>
          <w:pgSz w:h="16838" w:orient="portrait" w:w="11906"/>
          <w:pgMar w:bottom="1134" w:footer="0" w:gutter="0" w:header="709" w:left="1701" w:right="850" w:top="1134"/>
        </w:sectPr>
      </w:pPr>
    </w:p>
    <w:p w14:paraId="45000000">
      <w:pPr>
        <w:tabs>
          <w:tab w:leader="none" w:pos="1211" w:val="clear"/>
        </w:tabs>
        <w:ind w:firstLine="709" w:left="0"/>
        <w:jc w:val="both"/>
      </w:pPr>
      <w:r>
        <w:t>В целом рост просроченной задолженности в первом полугодии 2022 года был достаточно умеренным: КПК, как правило, ответственно подходят к оценке риск-профиля потенциального заемщика и одновременно применяют несколько способов анализа платежеспособности. Например, почти все организации (91%) проводят подробное анкетирование своих заемщиков, делают запросы о заемщике в ФССП (95%), анализируют кредитную историю (86%) и запрашивают информацию с места работы (70%), в том числе проверяют сведения о работодателе, справки по форме 2-НДФЛ.</w:t>
      </w:r>
    </w:p>
    <w:p w14:paraId="46000000">
      <w:pPr>
        <w:tabs>
          <w:tab w:leader="none" w:pos="1211" w:val="clear"/>
        </w:tabs>
        <w:ind w:firstLine="709" w:left="0"/>
        <w:jc w:val="both"/>
      </w:pPr>
      <w:r>
        <w:t>Несмотря на краткосрочную тенденцию по оттоку пайщиков и их сбережений, портфель привлеченных средств КПК на протяжении 2022 года оставался стабильным.</w:t>
      </w:r>
    </w:p>
    <w:p w14:paraId="47000000">
      <w:pPr>
        <w:tabs>
          <w:tab w:leader="none" w:pos="1211" w:val="clear"/>
        </w:tabs>
        <w:ind w:firstLine="709" w:left="0"/>
        <w:jc w:val="both"/>
      </w:pPr>
      <w:r>
        <w:t>Тенденции последних двух лет – снижение числа компаний, концентрация рынка:</w:t>
      </w:r>
    </w:p>
    <w:p w14:paraId="48000000">
      <w:pPr>
        <w:pStyle w:val="Style_4"/>
        <w:numPr>
          <w:ilvl w:val="0"/>
          <w:numId w:val="1"/>
        </w:numPr>
        <w:tabs>
          <w:tab w:leader="none" w:pos="1211" w:val="clear"/>
        </w:tabs>
        <w:ind/>
        <w:jc w:val="both"/>
      </w:pPr>
      <w:r>
        <w:t>при снижении числа участников рынка и сокращении числа пайщиков (за год показатели снизились на 16 и 6% соответственно) портфель займов КПК остается на стабильном уровне;</w:t>
      </w:r>
    </w:p>
    <w:p w14:paraId="49000000">
      <w:pPr>
        <w:pStyle w:val="Style_4"/>
        <w:numPr>
          <w:ilvl w:val="0"/>
          <w:numId w:val="1"/>
        </w:numPr>
        <w:tabs>
          <w:tab w:leader="none" w:pos="1211" w:val="clear"/>
        </w:tabs>
        <w:ind/>
        <w:jc w:val="both"/>
      </w:pPr>
      <w:r>
        <w:t>рынок КПК постепенно консолидируется на протяжении последних двух лет (начиная с III квартала 2020 года) — доля топ-50 организаций в совокупных активах по состоянию на 30.06.2022 увеличилась до 58% (на 5 п.п.). Это связано с постепенной очисткой рынка от неэффективных участников рынка, а также с уходом КПК, имеющих проблемы с финансовой устойчивостью;</w:t>
      </w:r>
    </w:p>
    <w:p w14:paraId="4A000000">
      <w:pPr>
        <w:pStyle w:val="Style_4"/>
        <w:numPr>
          <w:ilvl w:val="0"/>
          <w:numId w:val="1"/>
        </w:numPr>
        <w:tabs>
          <w:tab w:leader="none" w:pos="1211" w:val="clear"/>
        </w:tabs>
        <w:ind/>
        <w:jc w:val="both"/>
      </w:pPr>
      <w:r>
        <w:t>активы топ-50 КПК выросли на 3,7%, до 34,1 млрд рублей.</w:t>
      </w:r>
    </w:p>
    <w:p w14:paraId="4B000000">
      <w:pPr>
        <w:tabs>
          <w:tab w:leader="none" w:pos="1211" w:val="clear"/>
        </w:tabs>
        <w:ind w:firstLine="709" w:left="0"/>
        <w:jc w:val="both"/>
      </w:pPr>
    </w:p>
    <w:p w14:paraId="4C000000">
      <w:pPr>
        <w:tabs>
          <w:tab w:leader="none" w:pos="1211" w:val="clear"/>
        </w:tabs>
        <w:ind w:firstLine="709" w:left="0"/>
        <w:jc w:val="both"/>
      </w:pPr>
      <w:r>
        <w:t>В структуре выдач займов в первом полугодии 2022 года условно можно выделить несколько видов продуктов КПК, исходя из цели займа и категории заемщика (в основном это разновидности потребительского займа для заемщиков — ФЛ):</w:t>
      </w:r>
    </w:p>
    <w:p w14:paraId="4D000000">
      <w:pPr>
        <w:tabs>
          <w:tab w:leader="none" w:pos="1211" w:val="clear"/>
        </w:tabs>
        <w:ind w:firstLine="709" w:left="0"/>
        <w:jc w:val="both"/>
      </w:pPr>
      <w:r>
        <w:t>потребительские займы — самый распространенный продукт, на него приходится более 55% заключенных договоров и 25% объема выдач;</w:t>
      </w:r>
    </w:p>
    <w:p w14:paraId="4E000000">
      <w:pPr>
        <w:tabs>
          <w:tab w:leader="none" w:pos="1211" w:val="clear"/>
        </w:tabs>
        <w:ind w:firstLine="709" w:left="0"/>
        <w:jc w:val="both"/>
      </w:pPr>
      <w:r>
        <w:t>ипотечные займы — более 20% заключенных договоров и 68% объема выдач (что обусловлено целью и суммой займа);</w:t>
      </w:r>
    </w:p>
    <w:p w14:paraId="4F000000">
      <w:pPr>
        <w:tabs>
          <w:tab w:leader="none" w:pos="1211" w:val="clear"/>
        </w:tabs>
        <w:ind w:firstLine="709" w:left="0"/>
        <w:jc w:val="both"/>
      </w:pPr>
      <w:r>
        <w:drawing>
          <wp:anchor allowOverlap="true" behindDoc="false" distB="0" distL="0" distR="0" distT="0" layoutInCell="true" locked="false" relativeHeight="251658240" simplePos="false">
            <wp:simplePos x="0" y="0"/>
            <wp:positionH relativeFrom="column">
              <wp:posOffset>1905</wp:posOffset>
            </wp:positionH>
            <wp:positionV relativeFrom="paragraph">
              <wp:posOffset>736600</wp:posOffset>
            </wp:positionV>
            <wp:extent cx="5982335" cy="2289175"/>
            <wp:effectExtent b="0" l="0" r="0" t="0"/>
            <wp:wrapSquare distB="0" distL="0" distR="0" distT="0" wrapText="bothSides"/>
            <wp:docPr hidden="false" id="14" name="Picture 14"/>
            <a:graphic>
              <a:graphicData uri="http://schemas.openxmlformats.org/drawingml/2006/picture">
                <pic:pic>
                  <pic:nvPicPr>
                    <pic:cNvPr hidden="false" id="15" name="Picture 15"/>
                    <pic:cNvPicPr preferRelativeResize="true"/>
                  </pic:nvPicPr>
                  <pic:blipFill>
                    <a:blip r:embed="rId7"/>
                    <a:stretch/>
                  </pic:blipFill>
                  <pic:spPr>
                    <a:xfrm flipH="false" flipV="false" rot="0">
                      <a:ext cx="5982335" cy="2289175"/>
                    </a:xfrm>
                    <a:prstGeom prst="rect"/>
                  </pic:spPr>
                </pic:pic>
              </a:graphicData>
            </a:graphic>
          </wp:anchor>
        </w:drawing>
      </w:r>
      <w:r>
        <w:t>займы «Пенсионер» и займы «до зарплаты» составляют 9 и 11% заключенных договоров соответственно, но в силу специфики продуктов и небольших сумм займа на них приходится менее 2% выдач.</w:t>
      </w:r>
    </w:p>
    <w:p w14:paraId="50000000">
      <w:pPr>
        <w:tabs>
          <w:tab w:leader="none" w:pos="1211" w:val="clear"/>
        </w:tabs>
        <w:ind w:firstLine="709" w:left="0"/>
        <w:jc w:val="both"/>
      </w:pPr>
      <w:r>
        <w:t xml:space="preserve">В конкурирующем секторе — </w:t>
      </w:r>
      <w:r>
        <w:t>микрофинансовые</w:t>
      </w:r>
      <w:r>
        <w:t xml:space="preserve"> организации — к концу 2022 года по данным Банка России объемы деятельности и ее доходность восстановились к уровню 2021 года.</w:t>
      </w:r>
    </w:p>
    <w:p w14:paraId="51000000">
      <w:pPr>
        <w:tabs>
          <w:tab w:leader="none" w:pos="1211" w:val="clear"/>
        </w:tabs>
        <w:ind w:firstLine="709" w:left="0"/>
        <w:jc w:val="both"/>
      </w:pPr>
      <w:r>
        <w:t xml:space="preserve">Одной из причин стало увеличение выдачи займов посредством онлайн каналов (сокращение организационных издержек) и привлечение финансирование крупными компаниями посредством размещения облигаций (снижение стоимости финансирования). </w:t>
      </w:r>
    </w:p>
    <w:p w14:paraId="52000000">
      <w:pPr>
        <w:tabs>
          <w:tab w:leader="none" w:pos="1211" w:val="clear"/>
        </w:tabs>
        <w:ind w:firstLine="709" w:left="0"/>
        <w:jc w:val="both"/>
      </w:pPr>
      <w:r>
        <w:t xml:space="preserve">На рынке </w:t>
      </w:r>
      <w:r>
        <w:t>микрофинансовых</w:t>
      </w:r>
      <w:r>
        <w:t xml:space="preserve"> организаций также наблюдается процесс укрупнения участнико</w:t>
      </w:r>
      <w:r>
        <w:t xml:space="preserve">в с портфелем </w:t>
      </w:r>
      <w:r>
        <w:t xml:space="preserve">размером </w:t>
      </w:r>
      <w:r>
        <w:t>более 1 млрд руб.</w:t>
      </w:r>
    </w:p>
    <w:p w14:paraId="53000000">
      <w:pPr>
        <w:pStyle w:val="Style_3"/>
        <w:tabs>
          <w:tab w:leader="none" w:pos="0" w:val="left"/>
          <w:tab w:leader="none" w:pos="504" w:val="left"/>
          <w:tab w:leader="none" w:pos="1211" w:val="clear"/>
        </w:tabs>
        <w:ind w:firstLine="737" w:left="0"/>
        <w:jc w:val="both"/>
        <w:rPr>
          <w:rFonts w:ascii="Times New Roman" w:hAnsi="Times New Roman"/>
          <w:color w:val="000000"/>
          <w:sz w:val="28"/>
        </w:rPr>
      </w:pPr>
    </w:p>
    <w:p w14:paraId="54000000">
      <w:pPr>
        <w:tabs>
          <w:tab w:leader="none" w:pos="1211" w:val="clear"/>
        </w:tabs>
        <w:spacing w:after="0" w:before="120"/>
        <w:ind/>
        <w:jc w:val="both"/>
        <w:rPr>
          <w:b w:val="1"/>
          <w:sz w:val="24"/>
        </w:rPr>
      </w:pPr>
      <w:r>
        <w:rPr>
          <w:b w:val="1"/>
          <w:sz w:val="24"/>
        </w:rPr>
        <w:t>НАПРАВЛЕНИЯ РЕСТРУКТУРИЗАЦИИ</w:t>
      </w:r>
    </w:p>
    <w:p w14:paraId="55000000">
      <w:pPr>
        <w:tabs>
          <w:tab w:leader="none" w:pos="1211" w:val="clear"/>
        </w:tabs>
        <w:spacing w:after="0" w:before="120"/>
        <w:ind/>
        <w:jc w:val="both"/>
        <w:rPr>
          <w:sz w:val="20"/>
        </w:rPr>
      </w:pPr>
    </w:p>
    <w:p w14:paraId="56000000">
      <w:pPr>
        <w:tabs>
          <w:tab w:leader="none" w:pos="1211" w:val="clear"/>
        </w:tabs>
        <w:spacing w:after="0" w:before="120"/>
        <w:ind/>
        <w:jc w:val="both"/>
      </w:pPr>
      <w:r>
        <w:t xml:space="preserve">Основными направлениями реструктуризации деятельности </w:t>
      </w:r>
      <w:r>
        <w:t>КПК «ЩИТ»</w:t>
      </w:r>
      <w:r>
        <w:t xml:space="preserve"> являются: </w:t>
      </w:r>
    </w:p>
    <w:p w14:paraId="57000000">
      <w:pPr>
        <w:tabs>
          <w:tab w:leader="none" w:pos="1211" w:val="clear"/>
        </w:tabs>
        <w:spacing w:after="0" w:before="120"/>
        <w:ind/>
        <w:jc w:val="both"/>
      </w:pPr>
      <w:r>
        <w:t>* </w:t>
      </w:r>
      <w:r>
        <w:t>формирование долгосрочн</w:t>
      </w:r>
      <w:r>
        <w:t>ых</w:t>
      </w:r>
      <w:r>
        <w:t xml:space="preserve"> источник</w:t>
      </w:r>
      <w:r>
        <w:t>ов</w:t>
      </w:r>
      <w:r>
        <w:t xml:space="preserve"> денежных средств с размещением в «длинные» займы, генерирующие стабильный </w:t>
      </w:r>
      <w:r>
        <w:t xml:space="preserve">и продолжительный </w:t>
      </w:r>
      <w:r>
        <w:t>возвратный денежный поток;</w:t>
      </w:r>
    </w:p>
    <w:p w14:paraId="58000000">
      <w:pPr>
        <w:tabs>
          <w:tab w:leader="none" w:pos="1211" w:val="clear"/>
        </w:tabs>
        <w:spacing w:after="0" w:before="120"/>
        <w:ind/>
        <w:jc w:val="both"/>
      </w:pPr>
      <w:r>
        <w:t>* </w:t>
      </w:r>
      <w:r>
        <w:t xml:space="preserve">повышение надежности выдаваемых кредитов на предпринимательские и потребительские цели через залоговое обеспечение; </w:t>
      </w:r>
    </w:p>
    <w:p w14:paraId="59000000">
      <w:pPr>
        <w:tabs>
          <w:tab w:leader="none" w:pos="1211" w:val="clear"/>
        </w:tabs>
        <w:spacing w:after="0" w:before="120"/>
        <w:ind/>
        <w:jc w:val="both"/>
      </w:pPr>
      <w:r>
        <w:t>* </w:t>
      </w:r>
      <w:r>
        <w:t> </w:t>
      </w:r>
      <w:r>
        <w:t>поиск</w:t>
      </w:r>
      <w:r>
        <w:t xml:space="preserve"> путей извлечения дополнительного (прочего от процентного) дохода</w:t>
      </w:r>
      <w:r>
        <w:t>.</w:t>
      </w:r>
    </w:p>
    <w:p w14:paraId="5A000000">
      <w:pPr>
        <w:tabs>
          <w:tab w:leader="none" w:pos="1211" w:val="clear"/>
        </w:tabs>
        <w:spacing w:after="0" w:before="120"/>
        <w:ind/>
        <w:jc w:val="both"/>
      </w:pPr>
    </w:p>
    <w:p w14:paraId="5B000000">
      <w:pPr>
        <w:tabs>
          <w:tab w:leader="none" w:pos="1211" w:val="clear"/>
        </w:tabs>
        <w:spacing w:after="0" w:before="120"/>
        <w:ind w:firstLine="709" w:left="0"/>
        <w:jc w:val="both"/>
      </w:pPr>
      <w:r>
        <w:t>Первое н</w:t>
      </w:r>
      <w:r>
        <w:t xml:space="preserve">аправление связано с предоставлением </w:t>
      </w:r>
      <w:r>
        <w:t>займов</w:t>
      </w:r>
      <w:r>
        <w:t xml:space="preserve"> связанных с реализацией </w:t>
      </w:r>
      <w:r>
        <w:t>стартапов</w:t>
      </w:r>
      <w:r>
        <w:t xml:space="preserve"> личного бизнеса пайщиков, улучшение их жилищного положения, приобретения автотранспорта и улучшение образования.</w:t>
      </w:r>
    </w:p>
    <w:p w14:paraId="5C000000">
      <w:pPr>
        <w:tabs>
          <w:tab w:leader="none" w:pos="1211" w:val="clear"/>
        </w:tabs>
        <w:spacing w:after="0" w:before="120"/>
        <w:ind/>
        <w:jc w:val="both"/>
      </w:pPr>
      <w:r>
        <w:tab/>
      </w:r>
      <w:r>
        <w:t xml:space="preserve">По итогам 2023 года хорошие перспективы показывает выдача займов под материнский семейный капитал на улучшение жилищных условий семей с детьми. Цели получения займов: покупка готового дома; индивидуальное жилищное строительство, покупка новых квартир и квартир на вторичном рынке. </w:t>
      </w:r>
      <w:r>
        <w:t>КПК «ЩИТ»</w:t>
      </w:r>
      <w:r>
        <w:t xml:space="preserve"> предоставляет на эти цели до 15 млн руб. и на 100% по этим займам осуществляются возвратные выплаты основного долга и процентов по нему. Дополнительными преимуществами </w:t>
      </w:r>
      <w:r>
        <w:t>КПК «ЩИТ»</w:t>
      </w:r>
      <w:r>
        <w:t xml:space="preserve"> является оказание дополнительных услуг при проведении сделок с недвижимостью; помощь в подготовке документов; скорость рассмотрения заявок; более низкие требования к пакету документов на получение займа. Дополнительно можно рассмотреть </w:t>
      </w:r>
      <w:r>
        <w:t>услуги пайщикам по риэлтерским услугам при продаже или сдачи в аренду имеющихся объектов недвижимости. Также возможно рассмотрение варианта сотрудничества с застройщиками для платного привлечения их средств и частичного покрытия за их счет предоставление займа под покупку жилья.</w:t>
      </w:r>
      <w:r>
        <w:t xml:space="preserve"> При использовании средств материнского капитала частично погашаются за счет государственной программы.</w:t>
      </w:r>
    </w:p>
    <w:p w14:paraId="5D000000">
      <w:pPr>
        <w:tabs>
          <w:tab w:leader="none" w:pos="1211" w:val="clear"/>
        </w:tabs>
        <w:spacing w:after="0" w:before="120"/>
        <w:ind/>
        <w:jc w:val="both"/>
      </w:pPr>
      <w:r>
        <w:tab/>
      </w:r>
      <w:r>
        <w:t>С учетом роста стоимости транспортных средств считаем перспективным автокредитование под одновременный залог приобретаемого транспортного средства. Данное направление потребует привлечение дополнительного специалиста по оценке транспортных услуг или же выставление данной опции на аутсорсинг.</w:t>
      </w:r>
    </w:p>
    <w:p w14:paraId="5E000000">
      <w:pPr>
        <w:tabs>
          <w:tab w:leader="none" w:pos="1211" w:val="clear"/>
        </w:tabs>
        <w:spacing w:after="0" w:before="120"/>
        <w:ind/>
        <w:jc w:val="both"/>
      </w:pPr>
      <w:r>
        <w:tab/>
      </w:r>
      <w:r>
        <w:t>Другим</w:t>
      </w:r>
      <w:r>
        <w:t xml:space="preserve"> востребованным направлением кредитования являются образовательные займы. Во многом это также вызвано повышением его стоимости. Сочетание заочной/дистанционной формы обучения и работы, обучающегося </w:t>
      </w:r>
      <w:r>
        <w:t xml:space="preserve">возможно покрытие </w:t>
      </w:r>
      <w:r>
        <w:t xml:space="preserve">займа в течении учебного года без пиковых нагрузок на семейный бюджет. Администрирование посещаемости занятий и успеваемости заемщика не потребует значительных дополнительных расходов и в тоже время повышает возвратность займа. </w:t>
      </w:r>
    </w:p>
    <w:p w14:paraId="5F000000">
      <w:pPr>
        <w:tabs>
          <w:tab w:leader="none" w:pos="1211" w:val="clear"/>
        </w:tabs>
        <w:spacing w:after="0" w:before="120"/>
        <w:ind/>
        <w:jc w:val="both"/>
      </w:pPr>
      <w:r>
        <w:tab/>
      </w:r>
      <w:r>
        <w:t xml:space="preserve">Еще одним направлением долгосрочного размещения средств для генерирования устойчивого и длительного денежного потока является кредитование предпринимательской деятельности пайщиков, в </w:t>
      </w:r>
      <w:r>
        <w:t>т.ч</w:t>
      </w:r>
      <w:r>
        <w:t xml:space="preserve">. </w:t>
      </w:r>
      <w:r>
        <w:t>стартапов</w:t>
      </w:r>
      <w:r>
        <w:t xml:space="preserve">. </w:t>
      </w:r>
      <w:r>
        <w:br/>
      </w:r>
      <w:r>
        <w:t>Одним из перспективных направлений в прочих городах области является рынок уличной еды (</w:t>
      </w:r>
      <w:r>
        <w:t>фуд-стрита</w:t>
      </w:r>
      <w:r>
        <w:t>). Он показал и показывает хорошую динамику развития в Белгороде не только при открытии стационарных точек общественного питания, но и мобильных точках (</w:t>
      </w:r>
      <w:r>
        <w:t>фуд</w:t>
      </w:r>
      <w:r>
        <w:t xml:space="preserve">-траки), точках хлебопечения, кофейных точек в бизнес центрах и </w:t>
      </w:r>
      <w:r>
        <w:t xml:space="preserve">кофейных точках самообслуживания в крупных магазинах. Преимуществом </w:t>
      </w:r>
      <w:r>
        <w:t>КПК «ЩИТ»</w:t>
      </w:r>
      <w:r>
        <w:t xml:space="preserve"> в данном направлении может быть: унификация программы кредитования под определенный класс оборудования; возможность подготовки бизнес проекта со стороны </w:t>
      </w:r>
      <w:r>
        <w:t>КПК «ЩИТ»</w:t>
      </w:r>
      <w:r>
        <w:t xml:space="preserve">, а не заемщика для получения займа; </w:t>
      </w:r>
      <w:r>
        <w:t>франшизное</w:t>
      </w:r>
      <w:r>
        <w:t xml:space="preserve"> сопровождение деятельности; снижение стоимости оборудования при крупных его закупках у производителя с одновременным залоговым оформлением под заем со стороны кооператива.</w:t>
      </w:r>
    </w:p>
    <w:p w14:paraId="60000000">
      <w:pPr>
        <w:tabs>
          <w:tab w:leader="none" w:pos="1211" w:val="clear"/>
        </w:tabs>
        <w:spacing w:after="0" w:before="120"/>
        <w:ind/>
        <w:jc w:val="both"/>
      </w:pPr>
    </w:p>
    <w:p w14:paraId="61000000">
      <w:pPr>
        <w:tabs>
          <w:tab w:leader="none" w:pos="1211" w:val="clear"/>
        </w:tabs>
        <w:spacing w:after="0" w:before="120"/>
        <w:ind w:firstLine="709" w:left="0"/>
        <w:jc w:val="both"/>
      </w:pPr>
      <w:r>
        <w:t xml:space="preserve"> </w:t>
      </w:r>
      <w:r>
        <w:t>Частично рассмотренные направления отвечали и второму направлению реструктуризации – повышение качества залогового обеспечения.</w:t>
      </w:r>
    </w:p>
    <w:p w14:paraId="62000000">
      <w:pPr>
        <w:tabs>
          <w:tab w:leader="none" w:pos="1211" w:val="clear"/>
        </w:tabs>
        <w:spacing w:after="0" w:before="120"/>
        <w:ind/>
        <w:jc w:val="both"/>
      </w:pPr>
      <w:r>
        <w:tab/>
      </w:r>
      <w:r>
        <w:t xml:space="preserve">Одним из новых для </w:t>
      </w:r>
      <w:r>
        <w:t>КПК «ЩИТ»</w:t>
      </w:r>
      <w:r>
        <w:t xml:space="preserve"> направлений подобного кредитования, помимо выдачи автокредитов и выдачи займов под </w:t>
      </w:r>
      <w:r>
        <w:t>стартапы</w:t>
      </w:r>
      <w:r>
        <w:t xml:space="preserve">, </w:t>
      </w:r>
      <w:r>
        <w:t>является ломбардное кредитование. Это выдача потребительских кредитов и «кредитов до зарплаты» под залог материальных ценностей. Данное направление кредитование потребует определенные капиталовложения в оборудование и обучение/привлечение специалиста, но окупиться за счет сокращения доли сомнительных (зачастую необеспеченных) займов и дополнительного дохода от реализации залога.</w:t>
      </w:r>
    </w:p>
    <w:p w14:paraId="63000000">
      <w:pPr>
        <w:tabs>
          <w:tab w:leader="none" w:pos="1211" w:val="clear"/>
        </w:tabs>
        <w:spacing w:after="0" w:before="120"/>
        <w:ind/>
        <w:jc w:val="both"/>
      </w:pPr>
      <w:r>
        <w:t xml:space="preserve"> </w:t>
      </w:r>
      <w:r>
        <w:tab/>
      </w:r>
    </w:p>
    <w:p w14:paraId="64000000">
      <w:pPr>
        <w:tabs>
          <w:tab w:leader="none" w:pos="1211" w:val="clear"/>
        </w:tabs>
        <w:spacing w:after="0" w:before="120"/>
        <w:ind/>
        <w:jc w:val="both"/>
      </w:pPr>
      <w:r>
        <w:tab/>
      </w:r>
      <w:r>
        <w:t xml:space="preserve">Огромным преимуществом </w:t>
      </w:r>
      <w:r>
        <w:t>КПК «ЩИТ»</w:t>
      </w:r>
      <w:r>
        <w:t xml:space="preserve"> является большая база пайщиков. Этот нематериальный актив можно использовать для получения дополнительного дохода. Заодно возможно «уплотнение» рабочего времени имеющихся специалистов </w:t>
      </w:r>
      <w:r>
        <w:t>КПК «ЩИТ»</w:t>
      </w:r>
      <w:r>
        <w:t xml:space="preserve">. Пайщики же могут получить дополнительные услуги от кооператива по более низкой в сравнении с рынком цене. Сюда можно отнести бухгалтерское и юридическое сопровождение предпринимательской деятельности как имеющегося бизнеса, так и </w:t>
      </w:r>
      <w:r>
        <w:t>стартапов</w:t>
      </w:r>
      <w:r>
        <w:t xml:space="preserve">. Также возможно задействование услуг </w:t>
      </w:r>
      <w:r>
        <w:t>IT</w:t>
      </w:r>
      <w:r>
        <w:t xml:space="preserve"> службы </w:t>
      </w:r>
      <w:r>
        <w:t>КПК «ЩИТ»</w:t>
      </w:r>
      <w:r>
        <w:t xml:space="preserve"> в части домашней компьютерной техники пайщиков.</w:t>
      </w:r>
      <w:r>
        <w:t xml:space="preserve"> Данные услуги принесут не такой высокий доход в сравнении с выдачей займов, но помогут частично покрыть административные издержки, повысят надежность кредитования </w:t>
      </w:r>
      <w:r>
        <w:t>стартапов</w:t>
      </w:r>
      <w:r>
        <w:t xml:space="preserve"> и, самое главное, увеличат лояльность пайщиков к деятельности </w:t>
      </w:r>
      <w:r>
        <w:t>КПК «ЩИТ»</w:t>
      </w:r>
      <w:r>
        <w:t>.</w:t>
      </w:r>
    </w:p>
    <w:p w14:paraId="65000000">
      <w:pPr>
        <w:tabs>
          <w:tab w:leader="none" w:pos="1211" w:val="clear"/>
        </w:tabs>
        <w:spacing w:after="0" w:before="120"/>
        <w:ind/>
        <w:jc w:val="both"/>
      </w:pPr>
      <w:r>
        <w:tab/>
      </w:r>
      <w:r>
        <w:t>Этим же целям могут способствовать и такие дополнительные услуги пайщикам как организация туров «православного туризма», «медицинского туризма» в нашей и граничных областях России; помощь в организации летнего отдыха (аренда с частичным покрытием расходов баз отдыха, детских лагерей, организованных туристических перевозок автотранспортом). Преимуществом кооператива будет предварительное формирование групп путевок и более дешевое бронирование мест отдыха, за счет полного выкупа временных окон и комнатного фонда.</w:t>
      </w:r>
    </w:p>
    <w:p w14:paraId="66000000">
      <w:pPr>
        <w:tabs>
          <w:tab w:leader="none" w:pos="1211" w:val="clear"/>
        </w:tabs>
        <w:spacing w:after="0" w:before="120"/>
        <w:ind/>
        <w:jc w:val="both"/>
      </w:pPr>
      <w:r>
        <w:tab/>
      </w:r>
      <w:r>
        <w:t xml:space="preserve">Частично подобные услуги оказывают профсоюзы, но большинство пайщиков в них не состоит или же находится в пенсионном возрасте. Запросы на подобные услуги есть. Это также повысит лояльность пайщиков и смягчит финансовую нагрузку на денежные фонды </w:t>
      </w:r>
      <w:r>
        <w:t>КПК «ЩИТ»</w:t>
      </w:r>
      <w:r>
        <w:t xml:space="preserve"> вследствие выбытия пайщиков.</w:t>
      </w:r>
    </w:p>
    <w:p w14:paraId="67000000">
      <w:pPr>
        <w:tabs>
          <w:tab w:leader="none" w:pos="1211" w:val="clear"/>
        </w:tabs>
        <w:spacing w:after="0" w:before="120"/>
        <w:ind/>
        <w:jc w:val="both"/>
      </w:pPr>
    </w:p>
    <w:p w14:paraId="68000000">
      <w:pPr>
        <w:tabs>
          <w:tab w:leader="none" w:pos="1211" w:val="clear"/>
        </w:tabs>
        <w:spacing w:after="0" w:before="120"/>
        <w:ind/>
        <w:jc w:val="both"/>
        <w:rPr>
          <w:b w:val="1"/>
          <w:sz w:val="24"/>
        </w:rPr>
      </w:pPr>
      <w:r>
        <w:rPr>
          <w:b w:val="1"/>
          <w:sz w:val="24"/>
        </w:rPr>
        <w:t>ФИНАНСОВАЯ ЭФФЕКТИВНОСТЬ ВЛОЖЕНИЯ</w:t>
      </w:r>
    </w:p>
    <w:p w14:paraId="69000000">
      <w:pPr>
        <w:tabs>
          <w:tab w:leader="none" w:pos="1211" w:val="clear"/>
        </w:tabs>
        <w:spacing w:after="0" w:before="120"/>
        <w:ind/>
        <w:jc w:val="both"/>
        <w:rPr>
          <w:sz w:val="24"/>
        </w:rPr>
      </w:pPr>
    </w:p>
    <w:p w14:paraId="6A000000">
      <w:pPr>
        <w:tabs>
          <w:tab w:leader="none" w:pos="1211" w:val="clear"/>
        </w:tabs>
        <w:spacing w:after="0" w:before="120"/>
        <w:ind/>
        <w:jc w:val="both"/>
      </w:pPr>
      <w:r>
        <w:rPr>
          <w:sz w:val="24"/>
        </w:rPr>
        <w:tab/>
      </w:r>
      <w:r>
        <w:t xml:space="preserve">КПК «Щит» принимает долгосрочные инвестиции под 12% годовых на весь срок действия договора. Рассмотрим эффективность подобной инвестиции </w:t>
      </w:r>
      <w:r>
        <w:t>для</w:t>
      </w:r>
      <w:r>
        <w:t xml:space="preserve"> а) обычного инвестора (эквивалент банковского вклада) и б) юридического лица застройщика.</w:t>
      </w:r>
    </w:p>
    <w:p w14:paraId="6B000000">
      <w:pPr>
        <w:tabs>
          <w:tab w:leader="none" w:pos="1211" w:val="clear"/>
        </w:tabs>
        <w:spacing w:after="0" w:before="120"/>
        <w:ind/>
        <w:jc w:val="both"/>
      </w:pPr>
      <w:r>
        <w:tab/>
      </w:r>
      <w:r>
        <w:t>Вариант А.</w:t>
      </w:r>
    </w:p>
    <w:p w14:paraId="6C000000">
      <w:pPr>
        <w:tabs>
          <w:tab w:leader="none" w:pos="1211" w:val="clear"/>
        </w:tabs>
        <w:spacing w:after="0" w:before="120"/>
        <w:ind/>
        <w:jc w:val="both"/>
      </w:pPr>
      <w:r>
        <w:tab/>
      </w:r>
      <w:r>
        <w:t>Первоначальное вложение 10 000 000 руб. Договор на 5 лет с погашением в конце срока действия и ежегодным начислением процентов в размере 12% годовых. При этом инвестиции страдают от инфляции для исчисления которой возьмем Целевой показатель Банка России, увеличенный в полтора раза.</w:t>
      </w:r>
    </w:p>
    <w:p w14:paraId="6D000000">
      <w:pPr>
        <w:tabs>
          <w:tab w:leader="none" w:pos="1211" w:val="clear"/>
        </w:tabs>
        <w:spacing w:after="0" w:before="120"/>
        <w:ind/>
        <w:jc w:val="both"/>
      </w:pPr>
      <w:r>
        <w:tab/>
      </w:r>
      <w:r>
        <w:t>Представленный ниже расчет показывает два денежных потоков для инвестора: 1) номинальный (без учета инфляции) и 2) дисконтированный (с учетом инфляции), а также показатели эффективности вложений – Чистый поток (за минусом инвестиций) и Индекс Доходности (Рентабельности.</w:t>
      </w:r>
    </w:p>
    <w:p w14:paraId="6E000000">
      <w:pPr>
        <w:tabs>
          <w:tab w:leader="none" w:pos="1211" w:val="clear"/>
        </w:tabs>
        <w:spacing w:after="0" w:before="120"/>
        <w:ind/>
        <w:jc w:val="both"/>
        <w:rPr>
          <w:b w:val="1"/>
          <w:sz w:val="24"/>
        </w:rPr>
      </w:pPr>
      <w:r>
        <w:drawing>
          <wp:inline>
            <wp:extent cx="5940425" cy="1908632"/>
            <wp:effectExtent b="0" l="0" r="0" t="0"/>
            <wp:docPr hidden="false" id="16" name="Picture 16"/>
            <a:graphic>
              <a:graphicData uri="http://schemas.openxmlformats.org/drawingml/2006/picture">
                <pic:pic>
                  <pic:nvPicPr>
                    <pic:cNvPr hidden="false" id="17" name="Picture 17"/>
                    <pic:cNvPicPr preferRelativeResize="true"/>
                  </pic:nvPicPr>
                  <pic:blipFill>
                    <a:blip r:embed="rId8"/>
                    <a:srcRect b="0" l="0" r="0" t="0"/>
                    <a:stretch/>
                  </pic:blipFill>
                  <pic:spPr>
                    <a:xfrm flipH="false" flipV="false" rot="0">
                      <a:ext cx="5940425" cy="1908632"/>
                    </a:xfrm>
                    <a:prstGeom prst="rect"/>
                  </pic:spPr>
                </pic:pic>
              </a:graphicData>
            </a:graphic>
          </wp:inline>
        </w:drawing>
      </w:r>
    </w:p>
    <w:p w14:paraId="6F000000">
      <w:pPr>
        <w:tabs>
          <w:tab w:leader="none" w:pos="1211" w:val="clear"/>
        </w:tabs>
        <w:spacing w:after="0" w:before="120"/>
        <w:ind/>
        <w:jc w:val="both"/>
        <w:rPr>
          <w:b w:val="1"/>
          <w:sz w:val="24"/>
        </w:rPr>
      </w:pPr>
    </w:p>
    <w:p w14:paraId="70000000">
      <w:pPr>
        <w:tabs>
          <w:tab w:leader="none" w:pos="1211" w:val="clear"/>
        </w:tabs>
        <w:spacing w:after="0" w:before="120"/>
        <w:ind/>
        <w:jc w:val="both"/>
      </w:pPr>
      <w:r>
        <w:rPr>
          <w:sz w:val="24"/>
        </w:rPr>
        <w:tab/>
      </w:r>
      <w:r>
        <w:t xml:space="preserve">В итоге, </w:t>
      </w:r>
      <w:r>
        <w:t>за</w:t>
      </w:r>
      <w:r>
        <w:t xml:space="preserve"> 5 лет инвестор получит </w:t>
      </w:r>
      <w:r>
        <w:t xml:space="preserve">возврат инвестиций и </w:t>
      </w:r>
      <w:r>
        <w:rPr>
          <w:b w:val="1"/>
        </w:rPr>
        <w:t>6000</w:t>
      </w:r>
      <w:r>
        <w:rPr>
          <w:b w:val="1"/>
        </w:rPr>
        <w:t> </w:t>
      </w:r>
      <w:r>
        <w:rPr>
          <w:b w:val="1"/>
        </w:rPr>
        <w:t>тыс.</w:t>
      </w:r>
      <w:r>
        <w:rPr>
          <w:b w:val="1"/>
        </w:rPr>
        <w:t> </w:t>
      </w:r>
      <w:r>
        <w:rPr>
          <w:b w:val="1"/>
        </w:rPr>
        <w:t>руб.</w:t>
      </w:r>
      <w:r>
        <w:t xml:space="preserve"> сверх вложенного. Общая доходность вложения составит 60% или </w:t>
      </w:r>
      <w:r>
        <w:rPr>
          <w:b w:val="1"/>
        </w:rPr>
        <w:t>12,00%</w:t>
      </w:r>
      <w:r>
        <w:t xml:space="preserve"> годовых в течении каждого года. Однако, инфляция вносит свои коррективы – уменьшая номинальный доход. С учетом инфляции инвестор реально заработает </w:t>
      </w:r>
      <w:r>
        <w:rPr>
          <w:b w:val="1"/>
        </w:rPr>
        <w:t>2 527 тыс. руб.</w:t>
      </w:r>
      <w:r>
        <w:t xml:space="preserve"> чистого дохода, что составит </w:t>
      </w:r>
      <w:r>
        <w:rPr>
          <w:b w:val="1"/>
        </w:rPr>
        <w:t>4,61%</w:t>
      </w:r>
      <w:r>
        <w:t xml:space="preserve"> годовых за минусом ожидаемой инфляции.</w:t>
      </w:r>
    </w:p>
    <w:p w14:paraId="71000000">
      <w:pPr>
        <w:tabs>
          <w:tab w:leader="none" w:pos="1211" w:val="clear"/>
        </w:tabs>
        <w:spacing w:after="0" w:before="120"/>
        <w:ind/>
        <w:jc w:val="both"/>
      </w:pPr>
    </w:p>
    <w:p w14:paraId="72000000">
      <w:pPr>
        <w:tabs>
          <w:tab w:leader="none" w:pos="1211" w:val="clear"/>
        </w:tabs>
        <w:spacing w:after="0" w:before="120"/>
        <w:ind/>
        <w:jc w:val="both"/>
      </w:pPr>
      <w:r>
        <w:tab/>
      </w:r>
      <w:r>
        <w:t>Вариант Б.</w:t>
      </w:r>
    </w:p>
    <w:p w14:paraId="73000000">
      <w:pPr>
        <w:tabs>
          <w:tab w:leader="none" w:pos="1211" w:val="clear"/>
        </w:tabs>
        <w:spacing w:after="0" w:before="120"/>
        <w:ind/>
        <w:jc w:val="both"/>
      </w:pPr>
      <w:r>
        <w:tab/>
      </w:r>
      <w:r>
        <w:t xml:space="preserve">Для инвестора – </w:t>
      </w:r>
      <w:r>
        <w:t>юридического  лица</w:t>
      </w:r>
      <w:r>
        <w:t xml:space="preserve"> застройщика – существует еще один денежный поток, связанный с продажей объекта недвижимости пайщику, получившему ипотечный </w:t>
      </w:r>
      <w:r>
        <w:t>займ</w:t>
      </w:r>
      <w:r>
        <w:t xml:space="preserve"> от КПК «ЩИТ» из средств, предоставленных инвестором. При усло</w:t>
      </w:r>
      <w:r>
        <w:t>вной сметной прибыли застройщика в 15% от прямых затрат и стоимости приобретаемого объекта недвижимости в 6 млн руб. показатели эффективности вложений составят:</w:t>
      </w:r>
    </w:p>
    <w:p w14:paraId="74000000">
      <w:pPr>
        <w:tabs>
          <w:tab w:leader="none" w:pos="1211" w:val="clear"/>
        </w:tabs>
        <w:spacing w:after="0" w:before="120"/>
        <w:ind/>
        <w:jc w:val="both"/>
      </w:pPr>
      <w:r>
        <w:drawing>
          <wp:inline>
            <wp:extent cx="5940425" cy="1933106"/>
            <wp:effectExtent b="0" l="0" r="0" t="0"/>
            <wp:docPr hidden="false" id="18" name="Picture 18"/>
            <a:graphic>
              <a:graphicData uri="http://schemas.openxmlformats.org/drawingml/2006/picture">
                <pic:pic>
                  <pic:nvPicPr>
                    <pic:cNvPr hidden="false" id="19" name="Picture 19"/>
                    <pic:cNvPicPr preferRelativeResize="true"/>
                  </pic:nvPicPr>
                  <pic:blipFill>
                    <a:blip r:embed="rId9"/>
                    <a:srcRect b="0" l="0" r="0" t="0"/>
                    <a:stretch/>
                  </pic:blipFill>
                  <pic:spPr>
                    <a:xfrm flipH="false" flipV="false" rot="0">
                      <a:ext cx="5940425" cy="1933106"/>
                    </a:xfrm>
                    <a:prstGeom prst="rect"/>
                  </pic:spPr>
                </pic:pic>
              </a:graphicData>
            </a:graphic>
          </wp:inline>
        </w:drawing>
      </w:r>
    </w:p>
    <w:p w14:paraId="75000000">
      <w:pPr>
        <w:tabs>
          <w:tab w:leader="none" w:pos="1211" w:val="clear"/>
        </w:tabs>
        <w:spacing w:after="0" w:before="120"/>
        <w:ind/>
        <w:jc w:val="both"/>
      </w:pPr>
      <w:r>
        <w:tab/>
      </w:r>
    </w:p>
    <w:p w14:paraId="76000000">
      <w:pPr>
        <w:tabs>
          <w:tab w:leader="none" w:pos="1211" w:val="clear"/>
        </w:tabs>
        <w:spacing w:after="0" w:before="120"/>
        <w:ind/>
        <w:jc w:val="both"/>
      </w:pPr>
      <w:r>
        <w:t xml:space="preserve">Как видно из расчета при незначительном росте номинальных доходов – их эффективная часть (защищенная от инфляции) вырастает существенно. Чистый дисконтированный доход от вложений составит 5239 тыс. руб., а Индекс доходности </w:t>
      </w:r>
      <w:r>
        <w:t>в годом</w:t>
      </w:r>
      <w:r>
        <w:t xml:space="preserve"> исчислении за минусом ожидаемой инфляции составит уже 8,79% годовых. При этом уже в течении первого года инвестиций компания застройщик вернет себе стоимость квартиры от ее покупки пайщиком КПК «ЩИТ» и сможет продолжить основную деятельность, продолжая получать пассивный доход в течении следующих 4 лет.</w:t>
      </w:r>
    </w:p>
    <w:p w14:paraId="77000000">
      <w:pPr>
        <w:tabs>
          <w:tab w:leader="none" w:pos="1211" w:val="clear"/>
        </w:tabs>
        <w:spacing w:after="0" w:before="120"/>
        <w:ind/>
        <w:jc w:val="both"/>
      </w:pPr>
      <w:r>
        <w:tab/>
      </w:r>
      <w:r>
        <w:t>В итоге, в выигрыше оказываются все участники. Инвестор и КПК «ЩИТ» получат доход, а пайщик-заемщик получит возможность улучшить свое социально-экономическое положение за счет займа.</w:t>
      </w:r>
    </w:p>
    <w:p w14:paraId="78000000">
      <w:pPr>
        <w:tabs>
          <w:tab w:leader="none" w:pos="1211" w:val="clear"/>
        </w:tabs>
        <w:spacing w:after="0" w:before="120"/>
        <w:ind/>
        <w:jc w:val="both"/>
      </w:pPr>
    </w:p>
    <w:p w14:paraId="79000000">
      <w:pPr>
        <w:tabs>
          <w:tab w:leader="none" w:pos="1211" w:val="clear"/>
        </w:tabs>
        <w:spacing w:after="0" w:before="120"/>
        <w:ind/>
        <w:jc w:val="both"/>
      </w:pPr>
    </w:p>
    <w:p w14:paraId="7A000000">
      <w:pPr>
        <w:tabs>
          <w:tab w:leader="none" w:pos="1211" w:val="clear"/>
        </w:tabs>
        <w:spacing w:after="0" w:before="120"/>
        <w:ind/>
        <w:jc w:val="both"/>
        <w:rPr>
          <w:b w:val="1"/>
        </w:rPr>
      </w:pPr>
      <w:r>
        <w:rPr>
          <w:b w:val="1"/>
        </w:rPr>
        <w:t>ИСТОЧНИКИ И ССЫЛКИ:</w:t>
      </w:r>
    </w:p>
    <w:p w14:paraId="7B000000">
      <w:pPr>
        <w:tabs>
          <w:tab w:leader="none" w:pos="1211" w:val="clear"/>
        </w:tabs>
        <w:spacing w:after="0" w:before="120"/>
        <w:ind/>
        <w:jc w:val="both"/>
      </w:pPr>
    </w:p>
    <w:p w14:paraId="7C000000">
      <w:pPr>
        <w:pStyle w:val="Style_4"/>
        <w:numPr>
          <w:ilvl w:val="0"/>
          <w:numId w:val="2"/>
        </w:numPr>
        <w:tabs>
          <w:tab w:leader="none" w:pos="1211" w:val="clear"/>
        </w:tabs>
        <w:spacing w:after="0" w:before="120"/>
        <w:ind/>
        <w:jc w:val="both"/>
      </w:pPr>
      <w:r>
        <w:t xml:space="preserve">Гражданский Кодекс России. Часть первая. </w:t>
      </w:r>
      <w:r>
        <w:rPr>
          <w:rStyle w:val="Style_5_ch"/>
        </w:rPr>
        <w:fldChar w:fldCharType="begin"/>
      </w:r>
      <w:r>
        <w:rPr>
          <w:rStyle w:val="Style_5_ch"/>
        </w:rPr>
        <w:instrText>HYPERLINK "http://www.kremlin.ru/acts/bank/7279"</w:instrText>
      </w:r>
      <w:r>
        <w:rPr>
          <w:rStyle w:val="Style_5_ch"/>
        </w:rPr>
        <w:fldChar w:fldCharType="separate"/>
      </w:r>
      <w:r>
        <w:rPr>
          <w:rStyle w:val="Style_5_ch"/>
        </w:rPr>
        <w:t>http://www.kremlin.ru/acts/bank/7279</w:t>
      </w:r>
      <w:r>
        <w:rPr>
          <w:rStyle w:val="Style_5_ch"/>
        </w:rPr>
        <w:fldChar w:fldCharType="end"/>
      </w:r>
    </w:p>
    <w:p w14:paraId="7D000000">
      <w:pPr>
        <w:pStyle w:val="Style_4"/>
        <w:numPr>
          <w:ilvl w:val="0"/>
          <w:numId w:val="2"/>
        </w:numPr>
        <w:tabs>
          <w:tab w:leader="none" w:pos="1211" w:val="clear"/>
        </w:tabs>
        <w:spacing w:after="0" w:before="120"/>
        <w:ind/>
        <w:jc w:val="both"/>
      </w:pPr>
      <w:r>
        <w:t xml:space="preserve">О кредитной кооперации. Федеральный закон №190-ФЗ от 18.07.2009 </w:t>
      </w:r>
      <w:r>
        <w:rPr>
          <w:rStyle w:val="Style_5_ch"/>
        </w:rPr>
        <w:fldChar w:fldCharType="begin"/>
      </w:r>
      <w:r>
        <w:rPr>
          <w:rStyle w:val="Style_5_ch"/>
        </w:rPr>
        <w:instrText>HYPERLINK "http://www.kremlin.ru/acts/bank/29668"</w:instrText>
      </w:r>
      <w:r>
        <w:rPr>
          <w:rStyle w:val="Style_5_ch"/>
        </w:rPr>
        <w:fldChar w:fldCharType="separate"/>
      </w:r>
      <w:r>
        <w:rPr>
          <w:rStyle w:val="Style_5_ch"/>
        </w:rPr>
        <w:t>http://www.kremlin.ru/acts/bank/29668</w:t>
      </w:r>
      <w:r>
        <w:rPr>
          <w:rStyle w:val="Style_5_ch"/>
        </w:rPr>
        <w:fldChar w:fldCharType="end"/>
      </w:r>
    </w:p>
    <w:p w14:paraId="7E000000">
      <w:pPr>
        <w:pStyle w:val="Style_4"/>
        <w:numPr>
          <w:ilvl w:val="0"/>
          <w:numId w:val="2"/>
        </w:numPr>
        <w:tabs>
          <w:tab w:leader="none" w:pos="1211" w:val="clear"/>
        </w:tabs>
        <w:spacing w:after="0" w:before="120"/>
        <w:ind/>
        <w:jc w:val="both"/>
      </w:pPr>
      <w:r>
        <w:t>Тенденции на рынке кредитных потребительских кооперативов в 2022 году</w:t>
      </w:r>
      <w:r>
        <w:t xml:space="preserve">. Отчет Банка России. </w:t>
      </w:r>
      <w:r>
        <w:rPr>
          <w:rStyle w:val="Style_5_ch"/>
        </w:rPr>
        <w:fldChar w:fldCharType="begin"/>
      </w:r>
      <w:r>
        <w:rPr>
          <w:rStyle w:val="Style_5_ch"/>
        </w:rPr>
        <w:instrText>HYPERLINK "https://cbr.ru/analytics/microfinance/kpk/2022/"</w:instrText>
      </w:r>
      <w:r>
        <w:rPr>
          <w:rStyle w:val="Style_5_ch"/>
        </w:rPr>
        <w:fldChar w:fldCharType="separate"/>
      </w:r>
      <w:r>
        <w:rPr>
          <w:rStyle w:val="Style_5_ch"/>
        </w:rPr>
        <w:t>https://cbr.ru/analytics/microfinance/kpk/2022/</w:t>
      </w:r>
      <w:r>
        <w:rPr>
          <w:rStyle w:val="Style_5_ch"/>
        </w:rPr>
        <w:fldChar w:fldCharType="end"/>
      </w:r>
      <w:r>
        <w:t xml:space="preserve"> </w:t>
      </w:r>
    </w:p>
    <w:p w14:paraId="7F000000">
      <w:pPr>
        <w:pStyle w:val="Style_4"/>
        <w:numPr>
          <w:ilvl w:val="0"/>
          <w:numId w:val="2"/>
        </w:numPr>
        <w:tabs>
          <w:tab w:leader="none" w:pos="1211" w:val="clear"/>
        </w:tabs>
        <w:spacing w:after="0" w:before="120"/>
        <w:ind/>
      </w:pPr>
      <w:r>
        <w:t xml:space="preserve">Среднерыночные значения полной стоимости потребительского кредита (займа). Банк России. </w:t>
      </w:r>
      <w:r>
        <w:rPr>
          <w:rStyle w:val="Style_5_ch"/>
        </w:rPr>
        <w:fldChar w:fldCharType="begin"/>
      </w:r>
      <w:r>
        <w:rPr>
          <w:rStyle w:val="Style_5_ch"/>
        </w:rPr>
        <w:instrText>HYPERLINK "https://cbr.ru/statistics/bank_sector/psk/#highlight=%D0%BF%D0%BE%D1%82%D1%80%D0%B5%D0%B1%D0%B8%D1%82%D0%B5%D0%BB%D1%8C%D1%81%D0%BA%D0%BE%D0%B3%D0%BE%7C%D0%BF%D0%BE%D1%82%D1%80%D0%B5%D0%B1%D0%B8%D1%82%D0%B5%D0%BB%D1%8C%D1%81%D0%BA%D0%B8%D1%85%7C%D0%BA%D1%80%D0%B5%D0%B4%D0%B8%D1%82%D0%BD%D1%8B%D1%85%7C%D0%BA%D0%BE%D0%BE%D0%BF%D0%B5%D1%80%D0%B0%D1%82%D0%B8%D0%B2%D0%BE%D0%B2"</w:instrText>
      </w:r>
      <w:r>
        <w:rPr>
          <w:rStyle w:val="Style_5_ch"/>
        </w:rPr>
        <w:fldChar w:fldCharType="separate"/>
      </w:r>
      <w:r>
        <w:rPr>
          <w:rStyle w:val="Style_5_ch"/>
        </w:rPr>
        <w:t>https://cbr.ru/statistics/bank_sector/psk/#highlight=%D0%BF%D0%BE%D1%82%D1%80%D0%B5%D0%B1%D0%B8%D1%82%D0%B5%D0%BB%D1%8C%D1%81%D0%BA%D0%BE%D0%B3%D0%BE%7C%D0%BF%D0%BE%D1%82%D1%80%D0%B5%D0%B1%D0%B8%D1%82%D0%B5%D0%BB%D1%8C%D1%81%D0%BA%D0%B8%D1%85%7C%D0%BA%D1%80%D0%B5%D0%B4%D0%B8%D1%82%D0%BD%D1%8B%D1%85%7C%D0%BA%D0%BE%D0%BE%D0%BF%D0%B5%D1%80%D0%B0%D1%82%D0%B8%D0%B2%D0%BE%D0%B2</w:t>
      </w:r>
      <w:r>
        <w:rPr>
          <w:rStyle w:val="Style_5_ch"/>
        </w:rPr>
        <w:fldChar w:fldCharType="end"/>
      </w:r>
    </w:p>
    <w:p w14:paraId="80000000">
      <w:pPr>
        <w:pStyle w:val="Style_4"/>
        <w:numPr>
          <w:ilvl w:val="0"/>
          <w:numId w:val="2"/>
        </w:numPr>
        <w:tabs>
          <w:tab w:leader="none" w:pos="1211" w:val="clear"/>
        </w:tabs>
        <w:spacing w:after="0" w:before="120"/>
        <w:ind/>
      </w:pPr>
      <w:r>
        <w:t xml:space="preserve">Кредитные потребительские кооперативы. Банк России. </w:t>
      </w:r>
      <w:r>
        <w:rPr>
          <w:rStyle w:val="Style_5_ch"/>
        </w:rPr>
        <w:fldChar w:fldCharType="begin"/>
      </w:r>
      <w:r>
        <w:rPr>
          <w:rStyle w:val="Style_5_ch"/>
        </w:rPr>
        <w:instrText>HYPERLINK "https://cbr.ru/microfinance/explan/kpk/#highlight=%D0%BA%D1%80%D0%B5%D0%B4%D0%B8%D1%82%D0%BD%D0%BE%D0%BC%7C%D0%BF%D0%BE%D1%82%D1%80%D0%B5%D0%B1%D0%B8%D1%82%D0%B5%D0%BB%D1%8C%D1%81%D0%BA%D0%BE%D0%BC%7C%D0%BA%D0%BE%D0%BE%D0%BF%D0%B5%D1%80%D0%B0%D1%82%D0%B8%D0%B2%D0%B5%7C%D0%BA%D1%80%D0%B5%D0%B4%D0%B8%D1%82%D0%BD%D1%8B%D1%85%7C%D0%BF%D0%BE%D1%82%D1%80%D0%B5%D0%B1%D0%B8%D1%82%D0%B5%D0%BB%D1%8C%D1%81%D0%BA%D0%B8%D1%85%7C%D0%BA%D0%BE%D0%BE%D0%BF%D0%B5%D1%80%D0%B0%D1%82%D0%B8%D0%B2%D0%BE%D0%B2"</w:instrText>
      </w:r>
      <w:r>
        <w:rPr>
          <w:rStyle w:val="Style_5_ch"/>
        </w:rPr>
        <w:fldChar w:fldCharType="separate"/>
      </w:r>
      <w:r>
        <w:rPr>
          <w:rStyle w:val="Style_5_ch"/>
        </w:rPr>
        <w:t>https://cbr.ru/microfinance/explan/kpk/#highlight=%D0%BA%D1%80%D0%B5%D0%B4%D0%B8%D1%82%D0%BD%D0%BE%D0%BC%7C%D0%BF%D0%BE%D1%82%D1%80%D0%B5%D0%B1%D0%B8%D1%82%D0%B5%D0%BB%D1%8C%D1%81%D0%BA%D0%BE%D0%BC%7C%D0%BA%D0%BE%D0%BE%D0%BF%D0%B5%D1%80%D0%B0%D1%82%D0%B8%D0%B2%D0%B5%7C%D0%BA%D1%80%D0%B5%D0%B4%D0%B8%D1%82%D0%BD%D1%8B%D1%85%7C%D0%BF%D0%BE%D1%82%D1</w:t>
      </w:r>
      <w:r>
        <w:rPr>
          <w:rStyle w:val="Style_5_ch"/>
        </w:rPr>
        <w:t>%80%D0%B5%D0%B1%D0%B8%D1%82%D0%B5%D0%BB%D1%8C%D1%81%D0%BA%D0%B8%D1%85%7C%D0%BA%D0%BE%D0%BE%D0%BF%D0%B5%D1%80%D0%B0%D1%82%D0%B8%D0%B2%D0%BE%D0%B2</w:t>
      </w:r>
      <w:r>
        <w:rPr>
          <w:rStyle w:val="Style_5_ch"/>
        </w:rPr>
        <w:fldChar w:fldCharType="end"/>
      </w:r>
    </w:p>
    <w:p w14:paraId="81000000">
      <w:pPr>
        <w:pStyle w:val="Style_4"/>
        <w:numPr>
          <w:ilvl w:val="0"/>
          <w:numId w:val="2"/>
        </w:numPr>
        <w:tabs>
          <w:tab w:leader="none" w:pos="1211" w:val="clear"/>
        </w:tabs>
        <w:spacing w:after="0" w:before="120"/>
        <w:ind/>
        <w:jc w:val="both"/>
      </w:pPr>
      <w:r>
        <w:t xml:space="preserve">Ключевая ставка и инфляция. Банк России. </w:t>
      </w:r>
      <w:r>
        <w:rPr>
          <w:rStyle w:val="Style_5_ch"/>
        </w:rPr>
        <w:fldChar w:fldCharType="begin"/>
      </w:r>
      <w:r>
        <w:rPr>
          <w:rStyle w:val="Style_5_ch"/>
        </w:rPr>
        <w:instrText>HYPERLINK "https://cbr.ru/hd_base/infl/"</w:instrText>
      </w:r>
      <w:r>
        <w:rPr>
          <w:rStyle w:val="Style_5_ch"/>
        </w:rPr>
        <w:fldChar w:fldCharType="separate"/>
      </w:r>
      <w:r>
        <w:rPr>
          <w:rStyle w:val="Style_5_ch"/>
        </w:rPr>
        <w:t>https://cbr.ru/hd_base/infl/</w:t>
      </w:r>
      <w:r>
        <w:rPr>
          <w:rStyle w:val="Style_5_ch"/>
        </w:rPr>
        <w:fldChar w:fldCharType="end"/>
      </w:r>
    </w:p>
    <w:p w14:paraId="82000000">
      <w:pPr>
        <w:pStyle w:val="Style_4"/>
        <w:numPr>
          <w:ilvl w:val="0"/>
          <w:numId w:val="2"/>
        </w:numPr>
        <w:tabs>
          <w:tab w:leader="none" w:pos="1211" w:val="clear"/>
        </w:tabs>
        <w:spacing w:after="0" w:before="120"/>
        <w:ind/>
      </w:pPr>
      <w:r>
        <w:t>Методические рекомендации</w:t>
      </w:r>
      <w:r>
        <w:t xml:space="preserve"> по оценке эффективности комплексных инвестиционных проектов</w:t>
      </w:r>
      <w:r>
        <w:t xml:space="preserve">. </w:t>
      </w:r>
      <w:r>
        <w:rPr>
          <w:rStyle w:val="Style_5_ch"/>
        </w:rPr>
        <w:fldChar w:fldCharType="begin"/>
      </w:r>
      <w:r>
        <w:rPr>
          <w:rStyle w:val="Style_5_ch"/>
        </w:rPr>
        <w:instrText>HYPERLINK "https://minek.rk.gov.ru/file/File/minek/2017/sez/metodrekomend_ocenka_invproektov.pdf"</w:instrText>
      </w:r>
      <w:r>
        <w:rPr>
          <w:rStyle w:val="Style_5_ch"/>
        </w:rPr>
        <w:fldChar w:fldCharType="separate"/>
      </w:r>
      <w:r>
        <w:rPr>
          <w:rStyle w:val="Style_5_ch"/>
        </w:rPr>
        <w:t>https://minek.rk.gov.ru/file/File/minek/2017/sez/metodrekomend_ocenka_invproektov.pdf</w:t>
      </w:r>
      <w:r>
        <w:rPr>
          <w:rStyle w:val="Style_5_ch"/>
        </w:rPr>
        <w:fldChar w:fldCharType="end"/>
      </w:r>
      <w:r>
        <w:t xml:space="preserve"> </w:t>
      </w:r>
      <w:bookmarkStart w:id="1" w:name="_GoBack"/>
      <w:bookmarkEnd w:id="1"/>
    </w:p>
    <w:sectPr>
      <w:type w:val="continuous"/>
      <w:pgSz w:h="16838" w:orient="portrait" w:w="11906"/>
      <w:pgMar w:bottom="1134" w:footer="0" w:gutter="0" w:header="709"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numFmt w:val="bullet"/>
      <w:lvlText w:val=""/>
      <w:lvlJc w:val="left"/>
      <w:pPr>
        <w:ind w:hanging="360" w:left="1069"/>
      </w:pPr>
      <w:rPr>
        <w:rFonts w:ascii="Symbol" w:hAnsi="Symbol"/>
      </w:rPr>
    </w:lvl>
    <w:lvl w:ilvl="1">
      <w:start w:val="1"/>
      <w:numFmt w:val="bullet"/>
      <w:lvlText w:val="o"/>
      <w:lvlJc w:val="left"/>
      <w:pPr>
        <w:ind w:hanging="360" w:left="1789"/>
      </w:pPr>
      <w:rPr>
        <w:rFonts w:ascii="Courier New" w:hAnsi="Courier New"/>
      </w:rPr>
    </w:lvl>
    <w:lvl w:ilvl="2">
      <w:start w:val="1"/>
      <w:numFmt w:val="bullet"/>
      <w:lvlText w:val=""/>
      <w:lvlJc w:val="left"/>
      <w:pPr>
        <w:ind w:hanging="360" w:left="2509"/>
      </w:pPr>
      <w:rPr>
        <w:rFonts w:ascii="Wingdings" w:hAnsi="Wingdings"/>
      </w:rPr>
    </w:lvl>
    <w:lvl w:ilvl="3">
      <w:start w:val="1"/>
      <w:numFmt w:val="bullet"/>
      <w:lvlText w:val=""/>
      <w:lvlJc w:val="left"/>
      <w:pPr>
        <w:ind w:hanging="360" w:left="3229"/>
      </w:pPr>
      <w:rPr>
        <w:rFonts w:ascii="Symbol" w:hAnsi="Symbol"/>
      </w:rPr>
    </w:lvl>
    <w:lvl w:ilvl="4">
      <w:start w:val="1"/>
      <w:numFmt w:val="bullet"/>
      <w:lvlText w:val="o"/>
      <w:lvlJc w:val="left"/>
      <w:pPr>
        <w:ind w:hanging="360" w:left="3949"/>
      </w:pPr>
      <w:rPr>
        <w:rFonts w:ascii="Courier New" w:hAnsi="Courier New"/>
      </w:rPr>
    </w:lvl>
    <w:lvl w:ilvl="5">
      <w:start w:val="1"/>
      <w:numFmt w:val="bullet"/>
      <w:lvlText w:val=""/>
      <w:lvlJc w:val="left"/>
      <w:pPr>
        <w:ind w:hanging="360" w:left="4669"/>
      </w:pPr>
      <w:rPr>
        <w:rFonts w:ascii="Wingdings" w:hAnsi="Wingdings"/>
      </w:rPr>
    </w:lvl>
    <w:lvl w:ilvl="6">
      <w:start w:val="1"/>
      <w:numFmt w:val="bullet"/>
      <w:lvlText w:val=""/>
      <w:lvlJc w:val="left"/>
      <w:pPr>
        <w:ind w:hanging="360" w:left="5389"/>
      </w:pPr>
      <w:rPr>
        <w:rFonts w:ascii="Symbol" w:hAnsi="Symbol"/>
      </w:rPr>
    </w:lvl>
    <w:lvl w:ilvl="7">
      <w:start w:val="1"/>
      <w:numFmt w:val="bullet"/>
      <w:lvlText w:val="o"/>
      <w:lvlJc w:val="left"/>
      <w:pPr>
        <w:ind w:hanging="360" w:left="6109"/>
      </w:pPr>
      <w:rPr>
        <w:rFonts w:ascii="Courier New" w:hAnsi="Courier New"/>
      </w:rPr>
    </w:lvl>
    <w:lvl w:ilvl="8">
      <w:start w:val="1"/>
      <w:numFmt w:val="bullet"/>
      <w:lvlText w:val=""/>
      <w:lvlJc w:val="left"/>
      <w:pPr>
        <w:ind w:hanging="360" w:left="6829"/>
      </w:pPr>
      <w:rPr>
        <w:rFonts w:ascii="Wingdings" w:hAnsi="Wingdings"/>
      </w:rPr>
    </w:lvl>
  </w:abstractNum>
  <w:abstractNum w:abstractNumId="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0"/>
  </w:num>
  <w:num w:numId="2">
    <w:abstractNumId w:val="1"/>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Liberation Sans" w:hAnsi="Liberation Sans"/>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pPr>
      <w:tabs>
        <w:tab w:leader="none" w:pos="1211" w:val="left"/>
      </w:tabs>
      <w:spacing w:after="200" w:line="276" w:lineRule="auto"/>
      <w:ind/>
    </w:pPr>
    <w:rPr>
      <w:sz w:val="22"/>
    </w:rPr>
  </w:style>
  <w:style w:default="1" w:styleId="Style_2_ch" w:type="character">
    <w:name w:val="Normal"/>
    <w:link w:val="Style_2"/>
    <w:rPr>
      <w:sz w:val="22"/>
    </w:rPr>
  </w:style>
  <w:style w:styleId="Style_6" w:type="paragraph">
    <w:name w:val="toc 2"/>
    <w:basedOn w:val="Style_2"/>
    <w:link w:val="Style_6_ch"/>
    <w:uiPriority w:val="39"/>
    <w:pPr>
      <w:spacing w:after="57"/>
      <w:ind w:firstLine="0" w:left="283"/>
    </w:pPr>
  </w:style>
  <w:style w:styleId="Style_6_ch" w:type="character">
    <w:name w:val="toc 2"/>
    <w:basedOn w:val="Style_2_ch"/>
    <w:link w:val="Style_6"/>
  </w:style>
  <w:style w:styleId="Style_7" w:type="paragraph">
    <w:name w:val="toc 4"/>
    <w:basedOn w:val="Style_2"/>
    <w:link w:val="Style_7_ch"/>
    <w:uiPriority w:val="39"/>
    <w:pPr>
      <w:spacing w:after="57"/>
      <w:ind w:firstLine="0" w:left="850"/>
    </w:pPr>
  </w:style>
  <w:style w:styleId="Style_7_ch" w:type="character">
    <w:name w:val="toc 4"/>
    <w:basedOn w:val="Style_2_ch"/>
    <w:link w:val="Style_7"/>
  </w:style>
  <w:style w:styleId="Style_8" w:type="paragraph">
    <w:name w:val="No Spacing"/>
    <w:basedOn w:val="Style_2"/>
    <w:link w:val="Style_8_ch"/>
    <w:pPr>
      <w:spacing w:after="0" w:line="240" w:lineRule="auto"/>
      <w:ind/>
    </w:pPr>
  </w:style>
  <w:style w:styleId="Style_8_ch" w:type="character">
    <w:name w:val="No Spacing"/>
    <w:basedOn w:val="Style_2_ch"/>
    <w:link w:val="Style_8"/>
  </w:style>
  <w:style w:styleId="Style_9" w:type="paragraph">
    <w:name w:val="heading 7"/>
    <w:basedOn w:val="Style_2"/>
    <w:link w:val="Style_9_ch"/>
    <w:uiPriority w:val="9"/>
    <w:qFormat/>
    <w:pPr>
      <w:ind/>
      <w:outlineLvl w:val="6"/>
    </w:pPr>
  </w:style>
  <w:style w:styleId="Style_9_ch" w:type="character">
    <w:name w:val="heading 7"/>
    <w:basedOn w:val="Style_2_ch"/>
    <w:link w:val="Style_9"/>
  </w:style>
  <w:style w:styleId="Style_10" w:type="paragraph">
    <w:name w:val="Привязка концевой сноски"/>
    <w:link w:val="Style_10_ch"/>
    <w:rPr>
      <w:vertAlign w:val="superscript"/>
    </w:rPr>
  </w:style>
  <w:style w:styleId="Style_10_ch" w:type="character">
    <w:name w:val="Привязка концевой сноски"/>
    <w:link w:val="Style_10"/>
    <w:rPr>
      <w:vertAlign w:val="superscript"/>
    </w:rPr>
  </w:style>
  <w:style w:styleId="Style_11" w:type="paragraph">
    <w:name w:val="toc 6"/>
    <w:basedOn w:val="Style_2"/>
    <w:link w:val="Style_11_ch"/>
    <w:uiPriority w:val="39"/>
    <w:pPr>
      <w:spacing w:after="57"/>
      <w:ind w:firstLine="0" w:left="1417"/>
    </w:pPr>
  </w:style>
  <w:style w:styleId="Style_11_ch" w:type="character">
    <w:name w:val="toc 6"/>
    <w:basedOn w:val="Style_2_ch"/>
    <w:link w:val="Style_11"/>
  </w:style>
  <w:style w:styleId="Style_12" w:type="paragraph">
    <w:name w:val="toc 7"/>
    <w:basedOn w:val="Style_2"/>
    <w:link w:val="Style_12_ch"/>
    <w:uiPriority w:val="39"/>
    <w:pPr>
      <w:spacing w:after="57"/>
      <w:ind w:firstLine="0" w:left="1701"/>
    </w:pPr>
  </w:style>
  <w:style w:styleId="Style_12_ch" w:type="character">
    <w:name w:val="toc 7"/>
    <w:basedOn w:val="Style_2_ch"/>
    <w:link w:val="Style_12"/>
  </w:style>
  <w:style w:styleId="Style_13" w:type="paragraph">
    <w:name w:val="footer"/>
    <w:basedOn w:val="Style_2"/>
    <w:link w:val="Style_13_ch"/>
    <w:pPr>
      <w:tabs>
        <w:tab w:leader="none" w:pos="1211" w:val="clear"/>
        <w:tab w:leader="none" w:pos="7143" w:val="center"/>
        <w:tab w:leader="none" w:pos="14287" w:val="right"/>
      </w:tabs>
      <w:spacing w:after="0" w:line="240" w:lineRule="auto"/>
      <w:ind/>
    </w:pPr>
  </w:style>
  <w:style w:styleId="Style_13_ch" w:type="character">
    <w:name w:val="footer"/>
    <w:basedOn w:val="Style_2_ch"/>
    <w:link w:val="Style_13"/>
  </w:style>
  <w:style w:styleId="Style_14" w:type="paragraph">
    <w:name w:val="Endnote"/>
    <w:basedOn w:val="Style_2"/>
    <w:link w:val="Style_14_ch"/>
    <w:pPr>
      <w:spacing w:after="0" w:line="240" w:lineRule="auto"/>
      <w:ind/>
    </w:pPr>
    <w:rPr>
      <w:sz w:val="20"/>
    </w:rPr>
  </w:style>
  <w:style w:styleId="Style_14_ch" w:type="character">
    <w:name w:val="Endnote"/>
    <w:basedOn w:val="Style_2_ch"/>
    <w:link w:val="Style_14"/>
    <w:rPr>
      <w:sz w:val="20"/>
    </w:rPr>
  </w:style>
  <w:style w:styleId="Style_15" w:type="paragraph">
    <w:name w:val="heading 3"/>
    <w:basedOn w:val="Style_2"/>
    <w:link w:val="Style_15_ch"/>
    <w:uiPriority w:val="9"/>
    <w:qFormat/>
    <w:pPr>
      <w:ind/>
      <w:outlineLvl w:val="2"/>
    </w:pPr>
  </w:style>
  <w:style w:styleId="Style_15_ch" w:type="character">
    <w:name w:val="heading 3"/>
    <w:basedOn w:val="Style_2_ch"/>
    <w:link w:val="Style_15"/>
  </w:style>
  <w:style w:styleId="Style_16" w:type="paragraph">
    <w:name w:val="Heading 7 Char"/>
    <w:basedOn w:val="Style_17"/>
    <w:link w:val="Style_16_ch"/>
    <w:rPr>
      <w:rFonts w:ascii="Liberation Sans" w:hAnsi="Liberation Sans"/>
      <w:b w:val="1"/>
      <w:i w:val="1"/>
      <w:sz w:val="22"/>
    </w:rPr>
  </w:style>
  <w:style w:styleId="Style_16_ch" w:type="character">
    <w:name w:val="Heading 7 Char"/>
    <w:basedOn w:val="Style_17_ch"/>
    <w:link w:val="Style_16"/>
    <w:rPr>
      <w:rFonts w:ascii="Liberation Sans" w:hAnsi="Liberation Sans"/>
      <w:b w:val="1"/>
      <w:i w:val="1"/>
      <w:sz w:val="22"/>
    </w:rPr>
  </w:style>
  <w:style w:styleId="Style_18" w:type="paragraph">
    <w:name w:val="heading 9"/>
    <w:basedOn w:val="Style_2"/>
    <w:link w:val="Style_18_ch"/>
    <w:uiPriority w:val="9"/>
    <w:qFormat/>
    <w:pPr>
      <w:ind/>
      <w:outlineLvl w:val="8"/>
    </w:pPr>
  </w:style>
  <w:style w:styleId="Style_18_ch" w:type="character">
    <w:name w:val="heading 9"/>
    <w:basedOn w:val="Style_2_ch"/>
    <w:link w:val="Style_18"/>
  </w:style>
  <w:style w:styleId="Style_19" w:type="paragraph">
    <w:name w:val="Caption Char"/>
    <w:link w:val="Style_19_ch"/>
  </w:style>
  <w:style w:styleId="Style_19_ch" w:type="character">
    <w:name w:val="Caption Char"/>
    <w:link w:val="Style_19"/>
  </w:style>
  <w:style w:styleId="Style_20" w:type="paragraph">
    <w:name w:val="List"/>
    <w:basedOn w:val="Style_3"/>
    <w:link w:val="Style_20_ch"/>
  </w:style>
  <w:style w:styleId="Style_20_ch" w:type="character">
    <w:name w:val="List"/>
    <w:basedOn w:val="Style_3_ch"/>
    <w:link w:val="Style_20"/>
  </w:style>
  <w:style w:styleId="Style_17" w:type="paragraph">
    <w:name w:val="Default Paragraph Font"/>
    <w:link w:val="Style_17_ch"/>
  </w:style>
  <w:style w:styleId="Style_17_ch" w:type="character">
    <w:name w:val="Default Paragraph Font"/>
    <w:link w:val="Style_17"/>
  </w:style>
  <w:style w:styleId="Style_21" w:type="paragraph">
    <w:name w:val="Выделение жирным"/>
    <w:link w:val="Style_21_ch"/>
    <w:rPr>
      <w:b w:val="1"/>
    </w:rPr>
  </w:style>
  <w:style w:styleId="Style_21_ch" w:type="character">
    <w:name w:val="Выделение жирным"/>
    <w:link w:val="Style_21"/>
    <w:rPr>
      <w:b w:val="1"/>
    </w:rPr>
  </w:style>
  <w:style w:styleId="Style_22" w:type="paragraph">
    <w:name w:val="Quote Char"/>
    <w:link w:val="Style_22_ch"/>
    <w:rPr>
      <w:i w:val="1"/>
    </w:rPr>
  </w:style>
  <w:style w:styleId="Style_22_ch" w:type="character">
    <w:name w:val="Quote Char"/>
    <w:link w:val="Style_22"/>
    <w:rPr>
      <w:i w:val="1"/>
    </w:rPr>
  </w:style>
  <w:style w:styleId="Style_23" w:type="paragraph">
    <w:name w:val="toc 3"/>
    <w:basedOn w:val="Style_2"/>
    <w:link w:val="Style_23_ch"/>
    <w:uiPriority w:val="39"/>
    <w:pPr>
      <w:spacing w:after="57"/>
      <w:ind w:firstLine="0" w:left="567"/>
    </w:pPr>
  </w:style>
  <w:style w:styleId="Style_23_ch" w:type="character">
    <w:name w:val="toc 3"/>
    <w:basedOn w:val="Style_2_ch"/>
    <w:link w:val="Style_23"/>
  </w:style>
  <w:style w:styleId="Style_24" w:type="paragraph">
    <w:name w:val="Привязка сноски"/>
    <w:link w:val="Style_24_ch"/>
    <w:rPr>
      <w:vertAlign w:val="superscript"/>
    </w:rPr>
  </w:style>
  <w:style w:styleId="Style_24_ch" w:type="character">
    <w:name w:val="Привязка сноски"/>
    <w:link w:val="Style_24"/>
    <w:rPr>
      <w:vertAlign w:val="superscript"/>
    </w:rPr>
  </w:style>
  <w:style w:styleId="Style_25" w:type="paragraph">
    <w:name w:val="Header Char"/>
    <w:basedOn w:val="Style_17"/>
    <w:link w:val="Style_25_ch"/>
  </w:style>
  <w:style w:styleId="Style_25_ch" w:type="character">
    <w:name w:val="Header Char"/>
    <w:basedOn w:val="Style_17_ch"/>
    <w:link w:val="Style_25"/>
  </w:style>
  <w:style w:styleId="Style_26" w:type="paragraph">
    <w:name w:val="index heading"/>
    <w:basedOn w:val="Style_2"/>
    <w:link w:val="Style_26_ch"/>
  </w:style>
  <w:style w:styleId="Style_26_ch" w:type="character">
    <w:name w:val="index heading"/>
    <w:basedOn w:val="Style_2_ch"/>
    <w:link w:val="Style_26"/>
  </w:style>
  <w:style w:styleId="Style_27" w:type="paragraph">
    <w:name w:val="Quote"/>
    <w:basedOn w:val="Style_2"/>
    <w:link w:val="Style_27_ch"/>
    <w:pPr>
      <w:ind w:firstLine="0" w:left="720" w:right="720"/>
    </w:pPr>
    <w:rPr>
      <w:i w:val="1"/>
    </w:rPr>
  </w:style>
  <w:style w:styleId="Style_27_ch" w:type="character">
    <w:name w:val="Quote"/>
    <w:basedOn w:val="Style_2_ch"/>
    <w:link w:val="Style_27"/>
    <w:rPr>
      <w:i w:val="1"/>
    </w:rPr>
  </w:style>
  <w:style w:styleId="Style_28" w:type="paragraph">
    <w:name w:val="caption"/>
    <w:basedOn w:val="Style_2"/>
    <w:link w:val="Style_28_ch"/>
    <w:rPr>
      <w:b w:val="1"/>
      <w:color w:themeColor="accent1" w:val="5B9BD5"/>
      <w:sz w:val="18"/>
    </w:rPr>
  </w:style>
  <w:style w:styleId="Style_28_ch" w:type="character">
    <w:name w:val="caption"/>
    <w:basedOn w:val="Style_2_ch"/>
    <w:link w:val="Style_28"/>
    <w:rPr>
      <w:b w:val="1"/>
      <w:color w:themeColor="accent1" w:val="5B9BD5"/>
      <w:sz w:val="18"/>
    </w:rPr>
  </w:style>
  <w:style w:styleId="Style_29" w:type="paragraph">
    <w:name w:val="Footer Char"/>
    <w:basedOn w:val="Style_17"/>
    <w:link w:val="Style_29_ch"/>
  </w:style>
  <w:style w:styleId="Style_29_ch" w:type="character">
    <w:name w:val="Footer Char"/>
    <w:basedOn w:val="Style_17_ch"/>
    <w:link w:val="Style_29"/>
  </w:style>
  <w:style w:styleId="Style_30" w:type="paragraph">
    <w:name w:val="heading 5"/>
    <w:basedOn w:val="Style_2"/>
    <w:link w:val="Style_30_ch"/>
    <w:uiPriority w:val="9"/>
    <w:qFormat/>
    <w:pPr>
      <w:ind/>
      <w:outlineLvl w:val="4"/>
    </w:pPr>
  </w:style>
  <w:style w:styleId="Style_30_ch" w:type="character">
    <w:name w:val="heading 5"/>
    <w:basedOn w:val="Style_2_ch"/>
    <w:link w:val="Style_30"/>
  </w:style>
  <w:style w:styleId="Style_31" w:type="paragraph">
    <w:name w:val="Горизонтальная линия"/>
    <w:basedOn w:val="Style_2"/>
    <w:next w:val="Style_3"/>
    <w:link w:val="Style_31_ch"/>
    <w:pPr>
      <w:spacing w:after="283"/>
      <w:ind/>
    </w:pPr>
    <w:rPr>
      <w:sz w:val="12"/>
    </w:rPr>
  </w:style>
  <w:style w:styleId="Style_31_ch" w:type="character">
    <w:name w:val="Горизонтальная линия"/>
    <w:basedOn w:val="Style_2_ch"/>
    <w:link w:val="Style_31"/>
    <w:rPr>
      <w:sz w:val="12"/>
    </w:rPr>
  </w:style>
  <w:style w:styleId="Style_4" w:type="paragraph">
    <w:name w:val="List Paragraph"/>
    <w:basedOn w:val="Style_2"/>
    <w:link w:val="Style_4_ch"/>
    <w:pPr>
      <w:ind w:firstLine="0" w:left="720"/>
      <w:contextualSpacing w:val="1"/>
    </w:pPr>
  </w:style>
  <w:style w:styleId="Style_4_ch" w:type="character">
    <w:name w:val="List Paragraph"/>
    <w:basedOn w:val="Style_2_ch"/>
    <w:link w:val="Style_4"/>
  </w:style>
  <w:style w:styleId="Style_32" w:type="paragraph">
    <w:name w:val="heading 1"/>
    <w:basedOn w:val="Style_2"/>
    <w:link w:val="Style_32_ch"/>
    <w:uiPriority w:val="9"/>
    <w:qFormat/>
    <w:pPr>
      <w:ind/>
      <w:outlineLvl w:val="0"/>
    </w:pPr>
  </w:style>
  <w:style w:styleId="Style_32_ch" w:type="character">
    <w:name w:val="heading 1"/>
    <w:basedOn w:val="Style_2_ch"/>
    <w:link w:val="Style_32"/>
  </w:style>
  <w:style w:styleId="Style_5" w:type="paragraph">
    <w:name w:val="Hyperlink"/>
    <w:link w:val="Style_5_ch"/>
    <w:rPr>
      <w:color w:themeColor="hyperlink" w:val="0563C1"/>
      <w:u w:val="single"/>
    </w:rPr>
  </w:style>
  <w:style w:styleId="Style_5_ch" w:type="character">
    <w:name w:val="Hyperlink"/>
    <w:link w:val="Style_5"/>
    <w:rPr>
      <w:color w:themeColor="hyperlink" w:val="0563C1"/>
      <w:u w:val="single"/>
    </w:rPr>
  </w:style>
  <w:style w:styleId="Style_33" w:type="paragraph">
    <w:name w:val="Footnote"/>
    <w:basedOn w:val="Style_2"/>
    <w:link w:val="Style_33_ch"/>
    <w:pPr>
      <w:spacing w:after="40" w:line="240" w:lineRule="auto"/>
      <w:ind/>
    </w:pPr>
    <w:rPr>
      <w:sz w:val="18"/>
    </w:rPr>
  </w:style>
  <w:style w:styleId="Style_33_ch" w:type="character">
    <w:name w:val="Footnote"/>
    <w:basedOn w:val="Style_2_ch"/>
    <w:link w:val="Style_33"/>
    <w:rPr>
      <w:sz w:val="18"/>
    </w:rPr>
  </w:style>
  <w:style w:styleId="Style_34" w:type="paragraph">
    <w:name w:val="heading 8"/>
    <w:basedOn w:val="Style_2"/>
    <w:link w:val="Style_34_ch"/>
    <w:uiPriority w:val="9"/>
    <w:qFormat/>
    <w:pPr>
      <w:ind/>
      <w:outlineLvl w:val="7"/>
    </w:pPr>
  </w:style>
  <w:style w:styleId="Style_34_ch" w:type="character">
    <w:name w:val="heading 8"/>
    <w:basedOn w:val="Style_2_ch"/>
    <w:link w:val="Style_34"/>
  </w:style>
  <w:style w:styleId="Style_35" w:type="paragraph">
    <w:name w:val="Heading 1 Char"/>
    <w:basedOn w:val="Style_17"/>
    <w:link w:val="Style_35_ch"/>
    <w:rPr>
      <w:rFonts w:ascii="Liberation Sans" w:hAnsi="Liberation Sans"/>
      <w:sz w:val="40"/>
    </w:rPr>
  </w:style>
  <w:style w:styleId="Style_35_ch" w:type="character">
    <w:name w:val="Heading 1 Char"/>
    <w:basedOn w:val="Style_17_ch"/>
    <w:link w:val="Style_35"/>
    <w:rPr>
      <w:rFonts w:ascii="Liberation Sans" w:hAnsi="Liberation Sans"/>
      <w:sz w:val="40"/>
    </w:rPr>
  </w:style>
  <w:style w:styleId="Style_36" w:type="paragraph">
    <w:name w:val="toc 1"/>
    <w:basedOn w:val="Style_2"/>
    <w:link w:val="Style_36_ch"/>
    <w:uiPriority w:val="39"/>
    <w:pPr>
      <w:spacing w:after="57"/>
      <w:ind/>
    </w:pPr>
  </w:style>
  <w:style w:styleId="Style_36_ch" w:type="character">
    <w:name w:val="toc 1"/>
    <w:basedOn w:val="Style_2_ch"/>
    <w:link w:val="Style_36"/>
  </w:style>
  <w:style w:styleId="Style_37" w:type="paragraph">
    <w:name w:val="Subtitle Char"/>
    <w:basedOn w:val="Style_17"/>
    <w:link w:val="Style_37_ch"/>
    <w:rPr>
      <w:sz w:val="24"/>
    </w:rPr>
  </w:style>
  <w:style w:styleId="Style_37_ch" w:type="character">
    <w:name w:val="Subtitle Char"/>
    <w:basedOn w:val="Style_17_ch"/>
    <w:link w:val="Style_37"/>
    <w:rPr>
      <w:sz w:val="24"/>
    </w:rPr>
  </w:style>
  <w:style w:styleId="Style_38" w:type="paragraph">
    <w:name w:val="Heading 3 Char"/>
    <w:basedOn w:val="Style_17"/>
    <w:link w:val="Style_38_ch"/>
    <w:rPr>
      <w:rFonts w:ascii="Liberation Sans" w:hAnsi="Liberation Sans"/>
      <w:sz w:val="30"/>
    </w:rPr>
  </w:style>
  <w:style w:styleId="Style_38_ch" w:type="character">
    <w:name w:val="Heading 3 Char"/>
    <w:basedOn w:val="Style_17_ch"/>
    <w:link w:val="Style_38"/>
    <w:rPr>
      <w:rFonts w:ascii="Liberation Sans" w:hAnsi="Liberation Sans"/>
      <w:sz w:val="30"/>
    </w:rPr>
  </w:style>
  <w:style w:styleId="Style_39" w:type="paragraph">
    <w:name w:val="Header and Footer"/>
    <w:link w:val="Style_39_ch"/>
    <w:pPr>
      <w:spacing w:line="240" w:lineRule="auto"/>
      <w:ind/>
      <w:jc w:val="both"/>
    </w:pPr>
    <w:rPr>
      <w:rFonts w:ascii="XO Thames" w:hAnsi="XO Thames"/>
      <w:sz w:val="20"/>
    </w:rPr>
  </w:style>
  <w:style w:styleId="Style_39_ch" w:type="character">
    <w:name w:val="Header and Footer"/>
    <w:link w:val="Style_39"/>
    <w:rPr>
      <w:rFonts w:ascii="XO Thames" w:hAnsi="XO Thames"/>
      <w:sz w:val="20"/>
    </w:rPr>
  </w:style>
  <w:style w:styleId="Style_40" w:type="paragraph">
    <w:name w:val="Intense Quote"/>
    <w:basedOn w:val="Style_2"/>
    <w:link w:val="Style_40_ch"/>
    <w:pPr>
      <w:ind w:firstLine="0" w:left="720" w:right="720"/>
    </w:pPr>
    <w:rPr>
      <w:i w:val="1"/>
    </w:rPr>
  </w:style>
  <w:style w:styleId="Style_40_ch" w:type="character">
    <w:name w:val="Intense Quote"/>
    <w:basedOn w:val="Style_2_ch"/>
    <w:link w:val="Style_40"/>
    <w:rPr>
      <w:i w:val="1"/>
    </w:rPr>
  </w:style>
  <w:style w:styleId="Style_41" w:type="paragraph">
    <w:name w:val="Heading 9 Char"/>
    <w:basedOn w:val="Style_17"/>
    <w:link w:val="Style_41_ch"/>
    <w:rPr>
      <w:rFonts w:ascii="Liberation Sans" w:hAnsi="Liberation Sans"/>
      <w:i w:val="1"/>
      <w:sz w:val="21"/>
    </w:rPr>
  </w:style>
  <w:style w:styleId="Style_41_ch" w:type="character">
    <w:name w:val="Heading 9 Char"/>
    <w:basedOn w:val="Style_17_ch"/>
    <w:link w:val="Style_41"/>
    <w:rPr>
      <w:rFonts w:ascii="Liberation Sans" w:hAnsi="Liberation Sans"/>
      <w:i w:val="1"/>
      <w:sz w:val="21"/>
    </w:rPr>
  </w:style>
  <w:style w:styleId="Style_42" w:type="paragraph">
    <w:name w:val="toc 9"/>
    <w:basedOn w:val="Style_2"/>
    <w:link w:val="Style_42_ch"/>
    <w:uiPriority w:val="39"/>
    <w:pPr>
      <w:spacing w:after="57"/>
      <w:ind w:firstLine="0" w:left="2268"/>
    </w:pPr>
  </w:style>
  <w:style w:styleId="Style_42_ch" w:type="character">
    <w:name w:val="toc 9"/>
    <w:basedOn w:val="Style_2_ch"/>
    <w:link w:val="Style_42"/>
  </w:style>
  <w:style w:styleId="Style_43" w:type="paragraph">
    <w:name w:val="referenceable"/>
    <w:basedOn w:val="Style_17"/>
    <w:link w:val="Style_43_ch"/>
  </w:style>
  <w:style w:styleId="Style_43_ch" w:type="character">
    <w:name w:val="referenceable"/>
    <w:basedOn w:val="Style_17_ch"/>
    <w:link w:val="Style_43"/>
  </w:style>
  <w:style w:styleId="Style_1" w:type="paragraph">
    <w:name w:val="header"/>
    <w:basedOn w:val="Style_2"/>
    <w:link w:val="Style_1_ch"/>
    <w:pPr>
      <w:tabs>
        <w:tab w:leader="none" w:pos="1211" w:val="clear"/>
        <w:tab w:leader="none" w:pos="7143" w:val="center"/>
        <w:tab w:leader="none" w:pos="14287" w:val="right"/>
      </w:tabs>
      <w:spacing w:after="0" w:line="240" w:lineRule="auto"/>
      <w:ind/>
    </w:pPr>
  </w:style>
  <w:style w:styleId="Style_1_ch" w:type="character">
    <w:name w:val="header"/>
    <w:basedOn w:val="Style_2_ch"/>
    <w:link w:val="Style_1"/>
  </w:style>
  <w:style w:styleId="Style_44" w:type="paragraph">
    <w:name w:val="footnote reference"/>
    <w:basedOn w:val="Style_17"/>
    <w:link w:val="Style_44_ch"/>
    <w:rPr>
      <w:vertAlign w:val="superscript"/>
    </w:rPr>
  </w:style>
  <w:style w:styleId="Style_44_ch" w:type="character">
    <w:name w:val="footnote reference"/>
    <w:basedOn w:val="Style_17_ch"/>
    <w:link w:val="Style_44"/>
    <w:rPr>
      <w:vertAlign w:val="superscript"/>
    </w:rPr>
  </w:style>
  <w:style w:styleId="Style_45" w:type="paragraph">
    <w:name w:val="toc 8"/>
    <w:basedOn w:val="Style_2"/>
    <w:link w:val="Style_45_ch"/>
    <w:uiPriority w:val="39"/>
    <w:pPr>
      <w:spacing w:after="57"/>
      <w:ind w:firstLine="0" w:left="1984"/>
    </w:pPr>
  </w:style>
  <w:style w:styleId="Style_45_ch" w:type="character">
    <w:name w:val="toc 8"/>
    <w:basedOn w:val="Style_2_ch"/>
    <w:link w:val="Style_45"/>
  </w:style>
  <w:style w:styleId="Style_46" w:type="paragraph">
    <w:name w:val="Endnote Characters"/>
    <w:link w:val="Style_46_ch"/>
    <w:rPr>
      <w:vertAlign w:val="superscript"/>
    </w:rPr>
  </w:style>
  <w:style w:styleId="Style_46_ch" w:type="character">
    <w:name w:val="Endnote Characters"/>
    <w:link w:val="Style_46"/>
    <w:rPr>
      <w:vertAlign w:val="superscript"/>
    </w:rPr>
  </w:style>
  <w:style w:styleId="Style_47" w:type="paragraph">
    <w:name w:val="Heading 2 Char"/>
    <w:basedOn w:val="Style_17"/>
    <w:link w:val="Style_47_ch"/>
    <w:rPr>
      <w:rFonts w:ascii="Liberation Sans" w:hAnsi="Liberation Sans"/>
      <w:sz w:val="34"/>
    </w:rPr>
  </w:style>
  <w:style w:styleId="Style_47_ch" w:type="character">
    <w:name w:val="Heading 2 Char"/>
    <w:basedOn w:val="Style_17_ch"/>
    <w:link w:val="Style_47"/>
    <w:rPr>
      <w:rFonts w:ascii="Liberation Sans" w:hAnsi="Liberation Sans"/>
      <w:sz w:val="34"/>
    </w:rPr>
  </w:style>
  <w:style w:styleId="Style_48" w:type="paragraph">
    <w:name w:val="toc 5"/>
    <w:basedOn w:val="Style_2"/>
    <w:link w:val="Style_48_ch"/>
    <w:uiPriority w:val="39"/>
    <w:pPr>
      <w:spacing w:after="57"/>
      <w:ind w:firstLine="0" w:left="1134"/>
    </w:pPr>
  </w:style>
  <w:style w:styleId="Style_48_ch" w:type="character">
    <w:name w:val="toc 5"/>
    <w:basedOn w:val="Style_2_ch"/>
    <w:link w:val="Style_48"/>
  </w:style>
  <w:style w:styleId="Style_49" w:type="paragraph">
    <w:name w:val="table of figures"/>
    <w:basedOn w:val="Style_2"/>
    <w:link w:val="Style_49_ch"/>
    <w:pPr>
      <w:spacing w:after="0"/>
      <w:ind/>
    </w:pPr>
  </w:style>
  <w:style w:styleId="Style_49_ch" w:type="character">
    <w:name w:val="table of figures"/>
    <w:basedOn w:val="Style_2_ch"/>
    <w:link w:val="Style_49"/>
  </w:style>
  <w:style w:styleId="Style_50" w:type="paragraph">
    <w:name w:val="Heading 4 Char"/>
    <w:basedOn w:val="Style_17"/>
    <w:link w:val="Style_50_ch"/>
    <w:rPr>
      <w:rFonts w:ascii="Liberation Sans" w:hAnsi="Liberation Sans"/>
      <w:b w:val="1"/>
      <w:sz w:val="26"/>
    </w:rPr>
  </w:style>
  <w:style w:styleId="Style_50_ch" w:type="character">
    <w:name w:val="Heading 4 Char"/>
    <w:basedOn w:val="Style_17_ch"/>
    <w:link w:val="Style_50"/>
    <w:rPr>
      <w:rFonts w:ascii="Liberation Sans" w:hAnsi="Liberation Sans"/>
      <w:b w:val="1"/>
      <w:sz w:val="26"/>
    </w:rPr>
  </w:style>
  <w:style w:styleId="Style_51" w:type="paragraph">
    <w:name w:val="Заголовок"/>
    <w:basedOn w:val="Style_2"/>
    <w:next w:val="Style_3"/>
    <w:link w:val="Style_51_ch"/>
    <w:pPr>
      <w:keepNext w:val="1"/>
      <w:spacing w:after="120" w:before="240"/>
      <w:ind/>
    </w:pPr>
    <w:rPr>
      <w:sz w:val="28"/>
    </w:rPr>
  </w:style>
  <w:style w:styleId="Style_51_ch" w:type="character">
    <w:name w:val="Заголовок"/>
    <w:basedOn w:val="Style_2_ch"/>
    <w:link w:val="Style_51"/>
    <w:rPr>
      <w:sz w:val="28"/>
    </w:rPr>
  </w:style>
  <w:style w:styleId="Style_52" w:type="paragraph">
    <w:name w:val="Title Char"/>
    <w:basedOn w:val="Style_17"/>
    <w:link w:val="Style_52_ch"/>
    <w:rPr>
      <w:sz w:val="48"/>
    </w:rPr>
  </w:style>
  <w:style w:styleId="Style_52_ch" w:type="character">
    <w:name w:val="Title Char"/>
    <w:basedOn w:val="Style_17_ch"/>
    <w:link w:val="Style_52"/>
    <w:rPr>
      <w:sz w:val="48"/>
    </w:rPr>
  </w:style>
  <w:style w:styleId="Style_53" w:type="paragraph">
    <w:name w:val="Footnote Text Char"/>
    <w:link w:val="Style_53_ch"/>
    <w:rPr>
      <w:sz w:val="18"/>
    </w:rPr>
  </w:style>
  <w:style w:styleId="Style_53_ch" w:type="character">
    <w:name w:val="Footnote Text Char"/>
    <w:link w:val="Style_53"/>
    <w:rPr>
      <w:sz w:val="18"/>
    </w:rPr>
  </w:style>
  <w:style w:styleId="Style_54" w:type="paragraph">
    <w:name w:val="Верхний и нижний колонтитулы"/>
    <w:basedOn w:val="Style_2"/>
    <w:link w:val="Style_54_ch"/>
  </w:style>
  <w:style w:styleId="Style_54_ch" w:type="character">
    <w:name w:val="Верхний и нижний колонтитулы"/>
    <w:basedOn w:val="Style_2_ch"/>
    <w:link w:val="Style_54"/>
  </w:style>
  <w:style w:styleId="Style_55" w:type="paragraph">
    <w:name w:val="Heading 6 Char"/>
    <w:basedOn w:val="Style_17"/>
    <w:link w:val="Style_55_ch"/>
    <w:rPr>
      <w:rFonts w:ascii="Liberation Sans" w:hAnsi="Liberation Sans"/>
      <w:b w:val="1"/>
      <w:sz w:val="22"/>
    </w:rPr>
  </w:style>
  <w:style w:styleId="Style_55_ch" w:type="character">
    <w:name w:val="Heading 6 Char"/>
    <w:basedOn w:val="Style_17_ch"/>
    <w:link w:val="Style_55"/>
    <w:rPr>
      <w:rFonts w:ascii="Liberation Sans" w:hAnsi="Liberation Sans"/>
      <w:b w:val="1"/>
      <w:sz w:val="22"/>
    </w:rPr>
  </w:style>
  <w:style w:styleId="Style_56" w:type="paragraph">
    <w:name w:val="Footnote Characters"/>
    <w:link w:val="Style_56_ch"/>
    <w:rPr>
      <w:vertAlign w:val="superscript"/>
    </w:rPr>
  </w:style>
  <w:style w:styleId="Style_56_ch" w:type="character">
    <w:name w:val="Footnote Characters"/>
    <w:link w:val="Style_56"/>
    <w:rPr>
      <w:vertAlign w:val="superscript"/>
    </w:rPr>
  </w:style>
  <w:style w:styleId="Style_57" w:type="paragraph">
    <w:name w:val="Endnote Text Char"/>
    <w:link w:val="Style_57_ch"/>
    <w:rPr>
      <w:sz w:val="20"/>
    </w:rPr>
  </w:style>
  <w:style w:styleId="Style_57_ch" w:type="character">
    <w:name w:val="Endnote Text Char"/>
    <w:link w:val="Style_57"/>
    <w:rPr>
      <w:sz w:val="20"/>
    </w:rPr>
  </w:style>
  <w:style w:styleId="Style_58" w:type="paragraph">
    <w:name w:val="Intense Quote Char"/>
    <w:link w:val="Style_58_ch"/>
    <w:rPr>
      <w:i w:val="1"/>
    </w:rPr>
  </w:style>
  <w:style w:styleId="Style_58_ch" w:type="character">
    <w:name w:val="Intense Quote Char"/>
    <w:link w:val="Style_58"/>
    <w:rPr>
      <w:i w:val="1"/>
    </w:rPr>
  </w:style>
  <w:style w:styleId="Style_59" w:type="paragraph">
    <w:name w:val="Subtitle"/>
    <w:basedOn w:val="Style_2"/>
    <w:link w:val="Style_59_ch"/>
    <w:uiPriority w:val="11"/>
    <w:qFormat/>
    <w:pPr>
      <w:spacing w:before="200"/>
      <w:ind/>
    </w:pPr>
    <w:rPr>
      <w:sz w:val="24"/>
    </w:rPr>
  </w:style>
  <w:style w:styleId="Style_59_ch" w:type="character">
    <w:name w:val="Subtitle"/>
    <w:basedOn w:val="Style_2_ch"/>
    <w:link w:val="Style_59"/>
    <w:rPr>
      <w:sz w:val="24"/>
    </w:rPr>
  </w:style>
  <w:style w:styleId="Style_60" w:type="paragraph">
    <w:name w:val="endnote reference"/>
    <w:basedOn w:val="Style_17"/>
    <w:link w:val="Style_60_ch"/>
    <w:rPr>
      <w:vertAlign w:val="superscript"/>
    </w:rPr>
  </w:style>
  <w:style w:styleId="Style_60_ch" w:type="character">
    <w:name w:val="endnote reference"/>
    <w:basedOn w:val="Style_17_ch"/>
    <w:link w:val="Style_60"/>
    <w:rPr>
      <w:vertAlign w:val="superscript"/>
    </w:rPr>
  </w:style>
  <w:style w:styleId="Style_61" w:type="paragraph">
    <w:name w:val="Маркеры списка"/>
    <w:link w:val="Style_61_ch"/>
    <w:rPr>
      <w:rFonts w:ascii="OpenSymbol" w:hAnsi="OpenSymbol"/>
    </w:rPr>
  </w:style>
  <w:style w:styleId="Style_61_ch" w:type="character">
    <w:name w:val="Маркеры списка"/>
    <w:link w:val="Style_61"/>
    <w:rPr>
      <w:rFonts w:ascii="OpenSymbol" w:hAnsi="OpenSymbol"/>
    </w:rPr>
  </w:style>
  <w:style w:styleId="Style_62" w:type="paragraph">
    <w:name w:val="Интернет-ссылка"/>
    <w:link w:val="Style_62_ch"/>
    <w:rPr>
      <w:color w:themeColor="hyperlink" w:val="0563C1"/>
      <w:u w:val="single"/>
    </w:rPr>
  </w:style>
  <w:style w:styleId="Style_62_ch" w:type="character">
    <w:name w:val="Интернет-ссылка"/>
    <w:link w:val="Style_62"/>
    <w:rPr>
      <w:color w:themeColor="hyperlink" w:val="0563C1"/>
      <w:u w:val="single"/>
    </w:rPr>
  </w:style>
  <w:style w:styleId="Style_63" w:type="paragraph">
    <w:name w:val="Title"/>
    <w:basedOn w:val="Style_2"/>
    <w:link w:val="Style_63_ch"/>
    <w:uiPriority w:val="10"/>
    <w:qFormat/>
    <w:pPr>
      <w:spacing w:before="300"/>
      <w:ind/>
      <w:contextualSpacing w:val="1"/>
    </w:pPr>
    <w:rPr>
      <w:sz w:val="48"/>
    </w:rPr>
  </w:style>
  <w:style w:styleId="Style_63_ch" w:type="character">
    <w:name w:val="Title"/>
    <w:basedOn w:val="Style_2_ch"/>
    <w:link w:val="Style_63"/>
    <w:rPr>
      <w:sz w:val="48"/>
    </w:rPr>
  </w:style>
  <w:style w:styleId="Style_64" w:type="paragraph">
    <w:name w:val="heading 4"/>
    <w:basedOn w:val="Style_2"/>
    <w:link w:val="Style_64_ch"/>
    <w:uiPriority w:val="9"/>
    <w:qFormat/>
    <w:pPr>
      <w:ind/>
      <w:outlineLvl w:val="3"/>
    </w:pPr>
  </w:style>
  <w:style w:styleId="Style_64_ch" w:type="character">
    <w:name w:val="heading 4"/>
    <w:basedOn w:val="Style_2_ch"/>
    <w:link w:val="Style_64"/>
  </w:style>
  <w:style w:styleId="Style_65" w:type="paragraph">
    <w:name w:val="TOC Heading"/>
    <w:link w:val="Style_65_ch"/>
    <w:pPr>
      <w:spacing w:after="200" w:line="276" w:lineRule="auto"/>
      <w:ind/>
    </w:pPr>
    <w:rPr>
      <w:sz w:val="22"/>
    </w:rPr>
  </w:style>
  <w:style w:styleId="Style_65_ch" w:type="character">
    <w:name w:val="TOC Heading"/>
    <w:link w:val="Style_65"/>
    <w:rPr>
      <w:sz w:val="22"/>
    </w:rPr>
  </w:style>
  <w:style w:styleId="Style_66" w:type="paragraph">
    <w:name w:val="heading 2"/>
    <w:basedOn w:val="Style_2"/>
    <w:link w:val="Style_66_ch"/>
    <w:uiPriority w:val="9"/>
    <w:qFormat/>
    <w:pPr>
      <w:ind/>
      <w:outlineLvl w:val="1"/>
    </w:pPr>
  </w:style>
  <w:style w:styleId="Style_66_ch" w:type="character">
    <w:name w:val="heading 2"/>
    <w:basedOn w:val="Style_2_ch"/>
    <w:link w:val="Style_66"/>
  </w:style>
  <w:style w:styleId="Style_67" w:type="paragraph">
    <w:name w:val="Heading 8 Char"/>
    <w:basedOn w:val="Style_17"/>
    <w:link w:val="Style_67_ch"/>
    <w:rPr>
      <w:rFonts w:ascii="Liberation Sans" w:hAnsi="Liberation Sans"/>
      <w:i w:val="1"/>
      <w:sz w:val="22"/>
    </w:rPr>
  </w:style>
  <w:style w:styleId="Style_67_ch" w:type="character">
    <w:name w:val="Heading 8 Char"/>
    <w:basedOn w:val="Style_17_ch"/>
    <w:link w:val="Style_67"/>
    <w:rPr>
      <w:rFonts w:ascii="Liberation Sans" w:hAnsi="Liberation Sans"/>
      <w:i w:val="1"/>
      <w:sz w:val="22"/>
    </w:rPr>
  </w:style>
  <w:style w:styleId="Style_68" w:type="paragraph">
    <w:name w:val="Heading 5 Char"/>
    <w:basedOn w:val="Style_17"/>
    <w:link w:val="Style_68_ch"/>
    <w:rPr>
      <w:rFonts w:ascii="Liberation Sans" w:hAnsi="Liberation Sans"/>
      <w:b w:val="1"/>
      <w:sz w:val="24"/>
    </w:rPr>
  </w:style>
  <w:style w:styleId="Style_68_ch" w:type="character">
    <w:name w:val="Heading 5 Char"/>
    <w:basedOn w:val="Style_17_ch"/>
    <w:link w:val="Style_68"/>
    <w:rPr>
      <w:rFonts w:ascii="Liberation Sans" w:hAnsi="Liberation Sans"/>
      <w:b w:val="1"/>
      <w:sz w:val="24"/>
    </w:rPr>
  </w:style>
  <w:style w:styleId="Style_3" w:type="paragraph">
    <w:name w:val="Body Text"/>
    <w:basedOn w:val="Style_2"/>
    <w:link w:val="Style_3_ch"/>
    <w:pPr>
      <w:spacing w:after="140"/>
      <w:ind/>
    </w:pPr>
  </w:style>
  <w:style w:styleId="Style_3_ch" w:type="character">
    <w:name w:val="Body Text"/>
    <w:basedOn w:val="Style_2_ch"/>
    <w:link w:val="Style_3"/>
  </w:style>
  <w:style w:styleId="Style_69" w:type="paragraph">
    <w:name w:val="heading 6"/>
    <w:basedOn w:val="Style_2"/>
    <w:link w:val="Style_69_ch"/>
    <w:uiPriority w:val="9"/>
    <w:qFormat/>
    <w:pPr>
      <w:keepNext w:val="1"/>
      <w:keepLines w:val="1"/>
      <w:spacing w:before="320"/>
      <w:ind/>
      <w:outlineLvl w:val="5"/>
    </w:pPr>
    <w:rPr>
      <w:b w:val="1"/>
    </w:rPr>
  </w:style>
  <w:style w:styleId="Style_69_ch" w:type="character">
    <w:name w:val="heading 6"/>
    <w:basedOn w:val="Style_2_ch"/>
    <w:link w:val="Style_69"/>
    <w:rPr>
      <w:b w:val="1"/>
    </w:rPr>
  </w:style>
  <w:style w:styleId="Style_70" w:type="table">
    <w:name w:val="List Table 5 Dark - Accent 4"/>
    <w:tblPr>
      <w:tblInd w:type="dxa" w:w="0"/>
      <w:tblBorders>
        <w:top w:sz="32" w:themeColor="accent4" w:themeTint="9A" w:val="single"/>
        <w:left w:sz="32" w:themeColor="accent4" w:themeTint="9A" w:val="single"/>
        <w:bottom w:sz="32" w:themeColor="accent4" w:themeTint="9A" w:val="single"/>
        <w:right w:sz="32" w:themeColor="accent4" w:themeTint="9A" w:val="single"/>
      </w:tblBorders>
      <w:tblCellMar>
        <w:top w:type="dxa" w:w="0"/>
        <w:left w:type="dxa" w:w="0"/>
        <w:bottom w:type="dxa" w:w="0"/>
        <w:right w:type="dxa" w:w="0"/>
      </w:tblCellMar>
    </w:tblPr>
  </w:style>
  <w:style w:styleId="Style_71" w:type="table">
    <w:name w:val="Grid Table 5 Dark"/>
    <w:tblPr>
      <w:tblInd w:type="dxa" w:w="0"/>
      <w:tblBorders>
        <w:top w:sz="4" w:themeColor="light1" w:val="single"/>
        <w:left w:sz="4" w:themeColor="light1" w:val="single"/>
        <w:bottom w:sz="4" w:themeColor="light1" w:val="single"/>
        <w:right w:sz="4" w:themeColor="light1" w:val="single"/>
        <w:insideH w:sz="4" w:themeColor="light1" w:val="single"/>
        <w:insideV w:sz="4" w:themeColor="light1" w:val="single"/>
      </w:tblBorders>
      <w:tblCellMar>
        <w:top w:type="dxa" w:w="0"/>
        <w:left w:type="dxa" w:w="0"/>
        <w:bottom w:type="dxa" w:w="0"/>
        <w:right w:type="dxa" w:w="0"/>
      </w:tblCellMar>
    </w:tblPr>
  </w:style>
  <w:style w:styleId="Style_72" w:type="table">
    <w:name w:val="Plain Table 2"/>
    <w:tblPr>
      <w:tblInd w:type="dxa" w:w="0"/>
      <w:tblBorders>
        <w:top w:sz="4" w:themeColor="text1" w:val="single"/>
        <w:left w:sz="4" w:themeColor="text1" w:val="nil"/>
        <w:bottom w:sz="4" w:themeColor="text1" w:val="single"/>
        <w:right w:sz="4" w:themeColor="text1" w:val="nil"/>
      </w:tblBorders>
      <w:tblCellMar>
        <w:top w:type="dxa" w:w="0"/>
        <w:left w:type="dxa" w:w="108"/>
        <w:bottom w:type="dxa" w:w="0"/>
        <w:right w:type="dxa" w:w="108"/>
      </w:tblCellMar>
    </w:tblPr>
  </w:style>
  <w:style w:styleId="Style_73" w:type="table">
    <w:name w:val="Grid Table 6 Colorful"/>
    <w:tblPr>
      <w:tblInd w:type="dxa" w:w="0"/>
      <w:tblBorders>
        <w:top w:sz="4" w:themeColor="text1" w:themeTint="80" w:val="single"/>
        <w:left w:sz="4" w:themeColor="text1" w:themeTint="80" w:val="single"/>
        <w:bottom w:sz="4" w:themeColor="text1" w:themeTint="80" w:val="single"/>
        <w:right w:sz="4" w:themeColor="text1" w:themeTint="80" w:val="single"/>
        <w:insideH w:sz="4" w:themeColor="text1" w:themeTint="80" w:val="single"/>
        <w:insideV w:sz="4" w:themeColor="text1" w:themeTint="80" w:val="single"/>
      </w:tblBorders>
      <w:tblCellMar>
        <w:top w:type="dxa" w:w="0"/>
        <w:left w:type="dxa" w:w="0"/>
        <w:bottom w:type="dxa" w:w="0"/>
        <w:right w:type="dxa" w:w="0"/>
      </w:tblCellMar>
    </w:tblPr>
  </w:style>
  <w:style w:styleId="Style_74" w:type="table">
    <w:name w:val="Grid Table 7 Colorful - Accent 6"/>
    <w:tblPr>
      <w:tblInd w:type="dxa" w:w="0"/>
      <w:tblBorders>
        <w:bottom w:sz="4" w:themeColor="accent6" w:themeTint="90" w:val="single"/>
        <w:right w:sz="4" w:themeColor="accent6" w:themeTint="90" w:val="single"/>
        <w:insideH w:sz="4" w:themeColor="accent6" w:themeTint="90" w:val="single"/>
        <w:insideV w:sz="4" w:themeColor="accent6" w:themeTint="90" w:val="single"/>
      </w:tblBorders>
      <w:tblCellMar>
        <w:top w:type="dxa" w:w="0"/>
        <w:left w:type="dxa" w:w="0"/>
        <w:bottom w:type="dxa" w:w="0"/>
        <w:right w:type="dxa" w:w="0"/>
      </w:tblCellMar>
    </w:tblPr>
  </w:style>
  <w:style w:styleId="Style_75" w:type="table">
    <w:name w:val="Grid Table 1 Light - Accent 4"/>
    <w:tblPr>
      <w:tblInd w:type="dxa" w:w="0"/>
      <w:tblBorders>
        <w:top w:sz="4" w:themeColor="accent4" w:themeTint="67" w:val="single"/>
        <w:left w:sz="4" w:themeColor="accent4" w:themeTint="67" w:val="single"/>
        <w:bottom w:sz="4" w:themeColor="accent4" w:themeTint="67" w:val="single"/>
        <w:right w:sz="4" w:themeColor="accent4" w:themeTint="67" w:val="single"/>
        <w:insideH w:sz="4" w:themeColor="accent4" w:themeTint="67" w:val="single"/>
        <w:insideV w:sz="4" w:themeColor="accent4" w:themeTint="67" w:val="single"/>
      </w:tblBorders>
      <w:tblCellMar>
        <w:top w:type="dxa" w:w="0"/>
        <w:left w:type="dxa" w:w="0"/>
        <w:bottom w:type="dxa" w:w="0"/>
        <w:right w:type="dxa" w:w="0"/>
      </w:tblCellMar>
    </w:tblPr>
  </w:style>
  <w:style w:styleId="Style_76" w:type="table">
    <w:name w:val="Grid Table 6 Colorful - Accent 5"/>
    <w:tblPr>
      <w:tblInd w:type="dxa" w:w="0"/>
      <w:tblBorders>
        <w:top w:sz="4" w:themeColor="accent5" w:val="single"/>
        <w:left w:sz="4" w:themeColor="accent5" w:val="single"/>
        <w:bottom w:sz="4" w:themeColor="accent5" w:val="single"/>
        <w:right w:sz="4" w:themeColor="accent5" w:val="single"/>
        <w:insideH w:sz="4" w:themeColor="accent5" w:val="single"/>
        <w:insideV w:sz="4" w:themeColor="accent5" w:val="single"/>
      </w:tblBorders>
      <w:tblCellMar>
        <w:top w:type="dxa" w:w="0"/>
        <w:left w:type="dxa" w:w="0"/>
        <w:bottom w:type="dxa" w:w="0"/>
        <w:right w:type="dxa" w:w="0"/>
      </w:tblCellMar>
    </w:tblPr>
  </w:style>
  <w:style w:styleId="Style_77" w:type="table">
    <w:name w:val="List Table 2 - Accent 5"/>
    <w:tblPr>
      <w:tblInd w:type="dxa" w:w="0"/>
      <w:tblBorders>
        <w:top w:sz="4" w:themeColor="accent5" w:themeTint="90" w:val="single"/>
        <w:bottom w:sz="4" w:themeColor="accent5" w:themeTint="90" w:val="single"/>
        <w:insideH w:sz="4" w:themeColor="accent5" w:themeTint="90" w:val="single"/>
      </w:tblBorders>
      <w:tblCellMar>
        <w:top w:type="dxa" w:w="0"/>
        <w:left w:type="dxa" w:w="0"/>
        <w:bottom w:type="dxa" w:w="0"/>
        <w:right w:type="dxa" w:w="0"/>
      </w:tblCellMar>
    </w:tblPr>
  </w:style>
  <w:style w:default="1" w:styleId="Style_78" w:type="table">
    <w:name w:val="Normal Table"/>
    <w:tblPr>
      <w:tblInd w:type="dxa" w:w="0"/>
      <w:tblCellMar>
        <w:top w:type="dxa" w:w="0"/>
        <w:left w:type="dxa" w:w="108"/>
        <w:bottom w:type="dxa" w:w="0"/>
        <w:right w:type="dxa" w:w="108"/>
      </w:tblCellMar>
    </w:tblPr>
  </w:style>
  <w:style w:styleId="Style_79" w:type="table">
    <w:name w:val="List Table 2 - Accent 6"/>
    <w:tblPr>
      <w:tblInd w:type="dxa" w:w="0"/>
      <w:tblBorders>
        <w:top w:sz="4" w:themeColor="accent6" w:themeTint="90" w:val="single"/>
        <w:bottom w:sz="4" w:themeColor="accent6" w:themeTint="90" w:val="single"/>
        <w:insideH w:sz="4" w:themeColor="accent6" w:themeTint="90" w:val="single"/>
      </w:tblBorders>
      <w:tblCellMar>
        <w:top w:type="dxa" w:w="0"/>
        <w:left w:type="dxa" w:w="0"/>
        <w:bottom w:type="dxa" w:w="0"/>
        <w:right w:type="dxa" w:w="0"/>
      </w:tblCellMar>
    </w:tblPr>
  </w:style>
  <w:style w:styleId="Style_80" w:type="table">
    <w:name w:val="List Table 7 Colorful - Accent 4"/>
    <w:tblPr>
      <w:tblInd w:type="dxa" w:w="0"/>
      <w:tblBorders>
        <w:right w:sz="4" w:themeColor="accent4" w:themeTint="9A" w:val="single"/>
      </w:tblBorders>
      <w:tblCellMar>
        <w:top w:type="dxa" w:w="0"/>
        <w:left w:type="dxa" w:w="0"/>
        <w:bottom w:type="dxa" w:w="0"/>
        <w:right w:type="dxa" w:w="0"/>
      </w:tblCellMar>
    </w:tblPr>
  </w:style>
  <w:style w:styleId="Style_81" w:type="table">
    <w:name w:val="List Table 3 - Accent 1"/>
    <w:tblPr>
      <w:tblInd w:type="dxa" w:w="0"/>
      <w:tblBorders>
        <w:top w:sz="4" w:themeColor="accent1" w:val="single"/>
        <w:left w:sz="4" w:themeColor="accent1" w:val="single"/>
        <w:bottom w:sz="4" w:themeColor="accent1" w:val="single"/>
        <w:right w:sz="4" w:themeColor="accent1" w:val="single"/>
      </w:tblBorders>
      <w:tblCellMar>
        <w:top w:type="dxa" w:w="0"/>
        <w:left w:type="dxa" w:w="0"/>
        <w:bottom w:type="dxa" w:w="0"/>
        <w:right w:type="dxa" w:w="0"/>
      </w:tblCellMar>
    </w:tblPr>
  </w:style>
  <w:style w:styleId="Style_82" w:type="table">
    <w:name w:val="Lined - Accent 1"/>
    <w:rPr>
      <w:color w:val="404040"/>
    </w:rPr>
    <w:tblPr>
      <w:tblInd w:type="dxa" w:w="0"/>
      <w:tblCellMar>
        <w:top w:type="dxa" w:w="0"/>
        <w:left w:type="dxa" w:w="0"/>
        <w:bottom w:type="dxa" w:w="0"/>
        <w:right w:type="dxa" w:w="0"/>
      </w:tblCellMar>
    </w:tblPr>
  </w:style>
  <w:style w:styleId="Style_83" w:type="table">
    <w:name w:val="List Table 6 Colorful"/>
    <w:tblPr>
      <w:tblInd w:type="dxa" w:w="0"/>
      <w:tblBorders>
        <w:top w:sz="4" w:themeColor="text1" w:themeTint="80" w:val="single"/>
        <w:bottom w:sz="4" w:themeColor="text1" w:themeTint="80" w:val="single"/>
      </w:tblBorders>
      <w:tblCellMar>
        <w:top w:type="dxa" w:w="0"/>
        <w:left w:type="dxa" w:w="0"/>
        <w:bottom w:type="dxa" w:w="0"/>
        <w:right w:type="dxa" w:w="0"/>
      </w:tblCellMar>
    </w:tblPr>
  </w:style>
  <w:style w:styleId="Style_84" w:type="table">
    <w:name w:val="Grid Table 2 - Accent 6"/>
    <w:tblPr>
      <w:tblInd w:type="dxa" w:w="0"/>
      <w:tblBorders>
        <w:bottom w:sz="4" w:themeColor="accent6" w:val="single"/>
        <w:insideH w:sz="4" w:themeColor="accent6" w:val="single"/>
        <w:insideV w:sz="4" w:themeColor="accent6" w:val="single"/>
      </w:tblBorders>
      <w:tblCellMar>
        <w:top w:type="dxa" w:w="0"/>
        <w:left w:type="dxa" w:w="0"/>
        <w:bottom w:type="dxa" w:w="0"/>
        <w:right w:type="dxa" w:w="0"/>
      </w:tblCellMar>
    </w:tblPr>
  </w:style>
  <w:style w:styleId="Style_85" w:type="table">
    <w:name w:val="List Table 2"/>
    <w:tblPr>
      <w:tblInd w:type="dxa" w:w="0"/>
      <w:tblBorders>
        <w:top w:sz="4" w:themeColor="text1" w:themeTint="90" w:val="single"/>
        <w:bottom w:sz="4" w:themeColor="text1" w:themeTint="90" w:val="single"/>
        <w:insideH w:sz="4" w:themeColor="text1" w:themeTint="90" w:val="single"/>
      </w:tblBorders>
      <w:tblCellMar>
        <w:top w:type="dxa" w:w="0"/>
        <w:left w:type="dxa" w:w="0"/>
        <w:bottom w:type="dxa" w:w="0"/>
        <w:right w:type="dxa" w:w="0"/>
      </w:tblCellMar>
    </w:tblPr>
  </w:style>
  <w:style w:styleId="Style_86" w:type="table">
    <w:name w:val="Grid Table 2"/>
    <w:tblPr>
      <w:tblInd w:type="dxa" w:w="0"/>
      <w:tblBorders>
        <w:bottom w:sz="4" w:themeColor="text1" w:themeTint="95" w:val="single"/>
        <w:insideH w:sz="4" w:themeColor="text1" w:themeTint="95" w:val="single"/>
        <w:insideV w:sz="4" w:themeColor="text1" w:themeTint="95" w:val="single"/>
      </w:tblBorders>
      <w:tblCellMar>
        <w:top w:type="dxa" w:w="0"/>
        <w:left w:type="dxa" w:w="0"/>
        <w:bottom w:type="dxa" w:w="0"/>
        <w:right w:type="dxa" w:w="0"/>
      </w:tblCellMar>
    </w:tblPr>
  </w:style>
  <w:style w:styleId="Style_87" w:type="table">
    <w:name w:val="List Table 3 - Accent 4"/>
    <w:tblPr>
      <w:tblInd w:type="dxa" w:w="0"/>
      <w:tblBorders>
        <w:top w:sz="4" w:themeColor="accent4" w:themeTint="9A" w:val="single"/>
        <w:left w:sz="4" w:themeColor="accent4" w:themeTint="9A" w:val="single"/>
        <w:bottom w:sz="4" w:themeColor="accent4" w:themeTint="9A" w:val="single"/>
        <w:right w:sz="4" w:themeColor="accent4" w:themeTint="9A" w:val="single"/>
      </w:tblBorders>
      <w:tblCellMar>
        <w:top w:type="dxa" w:w="0"/>
        <w:left w:type="dxa" w:w="0"/>
        <w:bottom w:type="dxa" w:w="0"/>
        <w:right w:type="dxa" w:w="0"/>
      </w:tblCellMar>
    </w:tblPr>
  </w:style>
  <w:style w:styleId="Style_88" w:type="table">
    <w:name w:val="List Table 4 - Accent 3"/>
    <w:tblPr>
      <w:tblInd w:type="dxa" w:w="0"/>
      <w:tblBorders>
        <w:top w:sz="4" w:themeColor="accent3" w:themeTint="90" w:val="single"/>
        <w:left w:sz="4" w:themeColor="accent3" w:themeTint="90" w:val="single"/>
        <w:bottom w:sz="4" w:themeColor="accent3" w:themeTint="90" w:val="single"/>
        <w:right w:sz="4" w:themeColor="accent3" w:themeTint="90" w:val="single"/>
        <w:insideH w:sz="4" w:themeColor="accent3" w:themeTint="90" w:val="single"/>
      </w:tblBorders>
      <w:tblCellMar>
        <w:top w:type="dxa" w:w="0"/>
        <w:left w:type="dxa" w:w="0"/>
        <w:bottom w:type="dxa" w:w="0"/>
        <w:right w:type="dxa" w:w="0"/>
      </w:tblCellMar>
    </w:tblPr>
  </w:style>
  <w:style w:styleId="Style_89" w:type="table">
    <w:name w:val="Plain Table 3"/>
    <w:tblPr>
      <w:tblInd w:type="dxa" w:w="0"/>
      <w:tblCellMar>
        <w:top w:type="dxa" w:w="0"/>
        <w:left w:type="dxa" w:w="0"/>
        <w:bottom w:type="dxa" w:w="0"/>
        <w:right w:type="dxa" w:w="0"/>
      </w:tblCellMar>
    </w:tblPr>
  </w:style>
  <w:style w:styleId="Style_90" w:type="table">
    <w:name w:val="List Table 2 - Accent 1"/>
    <w:tblPr>
      <w:tblInd w:type="dxa" w:w="0"/>
      <w:tblBorders>
        <w:top w:sz="4" w:themeColor="accent1" w:themeTint="90" w:val="single"/>
        <w:bottom w:sz="4" w:themeColor="accent1" w:themeTint="90" w:val="single"/>
        <w:insideH w:sz="4" w:themeColor="accent1" w:themeTint="90" w:val="single"/>
      </w:tblBorders>
      <w:tblCellMar>
        <w:top w:type="dxa" w:w="0"/>
        <w:left w:type="dxa" w:w="0"/>
        <w:bottom w:type="dxa" w:w="0"/>
        <w:right w:type="dxa" w:w="0"/>
      </w:tblCellMar>
    </w:tblPr>
  </w:style>
  <w:style w:styleId="Style_91" w:type="table">
    <w:name w:val="List Table 5 Dark - Accent 6"/>
    <w:tblPr>
      <w:tblInd w:type="dxa" w:w="0"/>
      <w:tblBorders>
        <w:top w:sz="32" w:themeColor="accent6" w:themeTint="98" w:val="single"/>
        <w:left w:sz="32" w:themeColor="accent6" w:themeTint="98" w:val="single"/>
        <w:bottom w:sz="32" w:themeColor="accent6" w:themeTint="98" w:val="single"/>
        <w:right w:sz="32" w:themeColor="accent6" w:themeTint="98" w:val="single"/>
      </w:tblBorders>
      <w:tblCellMar>
        <w:top w:type="dxa" w:w="0"/>
        <w:left w:type="dxa" w:w="0"/>
        <w:bottom w:type="dxa" w:w="0"/>
        <w:right w:type="dxa" w:w="0"/>
      </w:tblCellMar>
    </w:tblPr>
  </w:style>
  <w:style w:styleId="Style_92" w:type="table">
    <w:name w:val="Bordered &amp; Lined - Accent 5"/>
    <w:rPr>
      <w:color w:val="404040"/>
    </w:rPr>
    <w:tblPr>
      <w:tblInd w:type="dxa" w:w="0"/>
      <w:tblBorders>
        <w:top w:sz="4" w:themeColor="accent5" w:themeShade="95" w:val="single"/>
        <w:left w:sz="4" w:themeColor="accent5" w:themeShade="95" w:val="single"/>
        <w:bottom w:sz="4" w:themeColor="accent5" w:themeShade="95" w:val="single"/>
        <w:right w:sz="4" w:themeColor="accent5" w:themeShade="95" w:val="single"/>
        <w:insideH w:sz="4" w:themeColor="accent5" w:themeShade="95" w:val="single"/>
        <w:insideV w:sz="4" w:themeColor="accent5" w:themeShade="95" w:val="single"/>
      </w:tblBorders>
      <w:tblCellMar>
        <w:top w:type="dxa" w:w="0"/>
        <w:left w:type="dxa" w:w="0"/>
        <w:bottom w:type="dxa" w:w="0"/>
        <w:right w:type="dxa" w:w="0"/>
      </w:tblCellMar>
    </w:tblPr>
  </w:style>
  <w:style w:styleId="Style_93" w:type="table">
    <w:name w:val="List Table 6 Colorful - Accent 4"/>
    <w:tblPr>
      <w:tblInd w:type="dxa" w:w="0"/>
      <w:tblBorders>
        <w:top w:sz="4" w:themeColor="accent4" w:themeTint="9A" w:val="single"/>
        <w:bottom w:sz="4" w:themeColor="accent4" w:themeTint="9A" w:val="single"/>
      </w:tblBorders>
      <w:tblCellMar>
        <w:top w:type="dxa" w:w="0"/>
        <w:left w:type="dxa" w:w="0"/>
        <w:bottom w:type="dxa" w:w="0"/>
        <w:right w:type="dxa" w:w="0"/>
      </w:tblCellMar>
    </w:tblPr>
  </w:style>
  <w:style w:styleId="Style_94" w:type="table">
    <w:name w:val="Grid Table 5 Dark- Accent 1"/>
    <w:tblPr>
      <w:tblInd w:type="dxa" w:w="0"/>
      <w:tblBorders>
        <w:top w:sz="4" w:themeColor="light1" w:val="single"/>
        <w:left w:sz="4" w:themeColor="light1" w:val="single"/>
        <w:bottom w:sz="4" w:themeColor="light1" w:val="single"/>
        <w:right w:sz="4" w:themeColor="light1" w:val="single"/>
        <w:insideH w:sz="4" w:themeColor="light1" w:val="single"/>
        <w:insideV w:sz="4" w:themeColor="light1" w:val="single"/>
      </w:tblBorders>
      <w:tblCellMar>
        <w:top w:type="dxa" w:w="0"/>
        <w:left w:type="dxa" w:w="0"/>
        <w:bottom w:type="dxa" w:w="0"/>
        <w:right w:type="dxa" w:w="0"/>
      </w:tblCellMar>
    </w:tblPr>
  </w:style>
  <w:style w:styleId="Style_95" w:type="table">
    <w:name w:val="Bordered - Accent 4"/>
    <w:tblPr>
      <w:tblInd w:type="dxa" w:w="0"/>
      <w:tblBorders>
        <w:top w:sz="4" w:themeColor="accent4" w:themeTint="67" w:val="single"/>
        <w:left w:sz="4" w:themeColor="accent4" w:themeTint="67" w:val="single"/>
        <w:bottom w:sz="4" w:themeColor="accent4" w:themeTint="67" w:val="single"/>
        <w:right w:sz="4" w:themeColor="accent4" w:themeTint="67" w:val="single"/>
        <w:insideH w:sz="4" w:themeColor="accent4" w:themeTint="67" w:val="single"/>
        <w:insideV w:sz="4" w:themeColor="accent4" w:themeTint="67" w:val="single"/>
      </w:tblBorders>
      <w:tblCellMar>
        <w:top w:type="dxa" w:w="0"/>
        <w:left w:type="dxa" w:w="0"/>
        <w:bottom w:type="dxa" w:w="0"/>
        <w:right w:type="dxa" w:w="0"/>
      </w:tblCellMar>
    </w:tblPr>
  </w:style>
  <w:style w:styleId="Style_96" w:type="table">
    <w:name w:val="List Table 7 Colorful - Accent 2"/>
    <w:tblPr>
      <w:tblInd w:type="dxa" w:w="0"/>
      <w:tblBorders>
        <w:right w:sz="4" w:themeColor="accent2" w:themeTint="97" w:val="single"/>
      </w:tblBorders>
      <w:tblCellMar>
        <w:top w:type="dxa" w:w="0"/>
        <w:left w:type="dxa" w:w="0"/>
        <w:bottom w:type="dxa" w:w="0"/>
        <w:right w:type="dxa" w:w="0"/>
      </w:tblCellMar>
    </w:tblPr>
  </w:style>
  <w:style w:styleId="Style_97" w:type="table">
    <w:name w:val="Grid Table 3 - Accent 5"/>
    <w:tblPr>
      <w:tblInd w:type="dxa" w:w="0"/>
      <w:tblBorders>
        <w:bottom w:sz="4" w:themeColor="accent5" w:val="single"/>
        <w:insideH w:sz="4" w:themeColor="accent5" w:val="single"/>
        <w:insideV w:sz="4" w:themeColor="accent5" w:val="single"/>
      </w:tblBorders>
      <w:tblCellMar>
        <w:top w:type="dxa" w:w="0"/>
        <w:left w:type="dxa" w:w="0"/>
        <w:bottom w:type="dxa" w:w="0"/>
        <w:right w:type="dxa" w:w="0"/>
      </w:tblCellMar>
    </w:tblPr>
  </w:style>
  <w:style w:styleId="Style_98" w:type="table">
    <w:name w:val="Grid Table 1 Light"/>
    <w:tblPr>
      <w:tblInd w:type="dxa" w:w="0"/>
      <w:tblBorders>
        <w:top w:sz="4" w:themeColor="text1" w:themeTint="67" w:val="single"/>
        <w:left w:sz="4" w:themeColor="text1" w:themeTint="67" w:val="single"/>
        <w:bottom w:sz="4" w:themeColor="text1" w:themeTint="67" w:val="single"/>
        <w:right w:sz="4" w:themeColor="text1" w:themeTint="67" w:val="single"/>
        <w:insideH w:sz="4" w:themeColor="text1" w:themeTint="67" w:val="single"/>
        <w:insideV w:sz="4" w:themeColor="text1" w:themeTint="67" w:val="single"/>
      </w:tblBorders>
      <w:tblCellMar>
        <w:top w:type="dxa" w:w="0"/>
        <w:left w:type="dxa" w:w="0"/>
        <w:bottom w:type="dxa" w:w="0"/>
        <w:right w:type="dxa" w:w="0"/>
      </w:tblCellMar>
    </w:tblPr>
  </w:style>
  <w:style w:styleId="Style_99" w:type="table">
    <w:name w:val="Grid Table 2 - Accent 4"/>
    <w:tblPr>
      <w:tblInd w:type="dxa" w:w="0"/>
      <w:tblBorders>
        <w:bottom w:sz="4" w:themeColor="accent4" w:themeTint="9A" w:val="single"/>
        <w:insideH w:sz="4" w:themeColor="accent4" w:themeTint="9A" w:val="single"/>
        <w:insideV w:sz="4" w:themeColor="accent4" w:themeTint="9A" w:val="single"/>
      </w:tblBorders>
      <w:tblCellMar>
        <w:top w:type="dxa" w:w="0"/>
        <w:left w:type="dxa" w:w="0"/>
        <w:bottom w:type="dxa" w:w="0"/>
        <w:right w:type="dxa" w:w="0"/>
      </w:tblCellMar>
    </w:tblPr>
  </w:style>
  <w:style w:styleId="Style_100" w:type="table">
    <w:name w:val="Grid Table 3 - Accent 2"/>
    <w:tblPr>
      <w:tblInd w:type="dxa" w:w="0"/>
      <w:tblBorders>
        <w:bottom w:sz="4" w:themeColor="accent2" w:themeTint="97" w:val="single"/>
        <w:insideH w:sz="4" w:themeColor="accent2" w:themeTint="97" w:val="single"/>
        <w:insideV w:sz="4" w:themeColor="accent2" w:themeTint="97" w:val="single"/>
      </w:tblBorders>
      <w:tblCellMar>
        <w:top w:type="dxa" w:w="0"/>
        <w:left w:type="dxa" w:w="0"/>
        <w:bottom w:type="dxa" w:w="0"/>
        <w:right w:type="dxa" w:w="0"/>
      </w:tblCellMar>
    </w:tblPr>
  </w:style>
  <w:style w:styleId="Style_101" w:type="table">
    <w:name w:val="Bordered - Accent 2"/>
    <w:tblPr>
      <w:tblInd w:type="dxa" w:w="0"/>
      <w:tblBorders>
        <w:top w:sz="4" w:themeColor="accent2" w:themeTint="67" w:val="single"/>
        <w:left w:sz="4" w:themeColor="accent2" w:themeTint="67" w:val="single"/>
        <w:bottom w:sz="4" w:themeColor="accent2" w:themeTint="67" w:val="single"/>
        <w:right w:sz="4" w:themeColor="accent2" w:themeTint="67" w:val="single"/>
        <w:insideH w:sz="4" w:themeColor="accent2" w:themeTint="67" w:val="single"/>
        <w:insideV w:sz="4" w:themeColor="accent2" w:themeTint="67" w:val="single"/>
      </w:tblBorders>
      <w:tblCellMar>
        <w:top w:type="dxa" w:w="0"/>
        <w:left w:type="dxa" w:w="0"/>
        <w:bottom w:type="dxa" w:w="0"/>
        <w:right w:type="dxa" w:w="0"/>
      </w:tblCellMar>
    </w:tblPr>
  </w:style>
  <w:style w:styleId="Style_102" w:type="table">
    <w:name w:val="List Table 6 Colorful - Accent 5"/>
    <w:tblPr>
      <w:tblInd w:type="dxa" w:w="0"/>
      <w:tblBorders>
        <w:top w:sz="4" w:themeColor="accent5" w:themeTint="9A" w:val="single"/>
        <w:bottom w:sz="4" w:themeColor="accent5" w:themeTint="9A" w:val="single"/>
      </w:tblBorders>
      <w:tblCellMar>
        <w:top w:type="dxa" w:w="0"/>
        <w:left w:type="dxa" w:w="0"/>
        <w:bottom w:type="dxa" w:w="0"/>
        <w:right w:type="dxa" w:w="0"/>
      </w:tblCellMar>
    </w:tblPr>
  </w:style>
  <w:style w:styleId="Style_103" w:type="table">
    <w:name w:val="Lined - Accent 3"/>
    <w:rPr>
      <w:color w:val="404040"/>
    </w:rPr>
    <w:tblPr>
      <w:tblInd w:type="dxa" w:w="0"/>
      <w:tblCellMar>
        <w:top w:type="dxa" w:w="0"/>
        <w:left w:type="dxa" w:w="0"/>
        <w:bottom w:type="dxa" w:w="0"/>
        <w:right w:type="dxa" w:w="0"/>
      </w:tblCellMar>
    </w:tblPr>
  </w:style>
  <w:style w:styleId="Style_104" w:type="table">
    <w:name w:val="List Table 2 - Accent 2"/>
    <w:tblPr>
      <w:tblInd w:type="dxa" w:w="0"/>
      <w:tblBorders>
        <w:top w:sz="4" w:themeColor="accent2" w:themeTint="90" w:val="single"/>
        <w:bottom w:sz="4" w:themeColor="accent2" w:themeTint="90" w:val="single"/>
        <w:insideH w:sz="4" w:themeColor="accent2" w:themeTint="90" w:val="single"/>
      </w:tblBorders>
      <w:tblCellMar>
        <w:top w:type="dxa" w:w="0"/>
        <w:left w:type="dxa" w:w="0"/>
        <w:bottom w:type="dxa" w:w="0"/>
        <w:right w:type="dxa" w:w="0"/>
      </w:tblCellMar>
    </w:tblPr>
  </w:style>
  <w:style w:styleId="Style_105" w:type="table">
    <w:name w:val="List Table 1 Light - Accent 2"/>
    <w:tblPr>
      <w:tblInd w:type="dxa" w:w="0"/>
      <w:tblCellMar>
        <w:top w:type="dxa" w:w="0"/>
        <w:left w:type="dxa" w:w="0"/>
        <w:bottom w:type="dxa" w:w="0"/>
        <w:right w:type="dxa" w:w="0"/>
      </w:tblCellMar>
    </w:tblPr>
  </w:style>
  <w:style w:styleId="Style_106" w:type="table">
    <w:name w:val="Grid Table 3 - Accent 1"/>
    <w:tblPr>
      <w:tblInd w:type="dxa" w:w="0"/>
      <w:tblBorders>
        <w:bottom w:sz="4" w:themeColor="accent1" w:themeTint="EA" w:val="single"/>
        <w:insideH w:sz="4" w:themeColor="accent1" w:themeTint="EA" w:val="single"/>
        <w:insideV w:sz="4" w:themeColor="accent1" w:themeTint="EA" w:val="single"/>
      </w:tblBorders>
      <w:tblCellMar>
        <w:top w:type="dxa" w:w="0"/>
        <w:left w:type="dxa" w:w="0"/>
        <w:bottom w:type="dxa" w:w="0"/>
        <w:right w:type="dxa" w:w="0"/>
      </w:tblCellMar>
    </w:tblPr>
  </w:style>
  <w:style w:styleId="Style_107" w:type="table">
    <w:name w:val="List Table 4 - Accent 1"/>
    <w:tblPr>
      <w:tblInd w:type="dxa" w:w="0"/>
      <w:tblBorders>
        <w:top w:sz="4" w:themeColor="accent1" w:themeTint="90" w:val="single"/>
        <w:left w:sz="4" w:themeColor="accent1" w:themeTint="90" w:val="single"/>
        <w:bottom w:sz="4" w:themeColor="accent1" w:themeTint="90" w:val="single"/>
        <w:right w:sz="4" w:themeColor="accent1" w:themeTint="90" w:val="single"/>
        <w:insideH w:sz="4" w:themeColor="accent1" w:themeTint="90" w:val="single"/>
      </w:tblBorders>
      <w:tblCellMar>
        <w:top w:type="dxa" w:w="0"/>
        <w:left w:type="dxa" w:w="0"/>
        <w:bottom w:type="dxa" w:w="0"/>
        <w:right w:type="dxa" w:w="0"/>
      </w:tblCellMar>
    </w:tblPr>
  </w:style>
  <w:style w:styleId="Style_108" w:type="table">
    <w:name w:val="List Table 4 - Accent 4"/>
    <w:tblPr>
      <w:tblInd w:type="dxa" w:w="0"/>
      <w:tblBorders>
        <w:top w:sz="4" w:themeColor="accent4" w:themeTint="90" w:val="single"/>
        <w:left w:sz="4" w:themeColor="accent4" w:themeTint="90" w:val="single"/>
        <w:bottom w:sz="4" w:themeColor="accent4" w:themeTint="90" w:val="single"/>
        <w:right w:sz="4" w:themeColor="accent4" w:themeTint="90" w:val="single"/>
        <w:insideH w:sz="4" w:themeColor="accent4" w:themeTint="90" w:val="single"/>
      </w:tblBorders>
      <w:tblCellMar>
        <w:top w:type="dxa" w:w="0"/>
        <w:left w:type="dxa" w:w="0"/>
        <w:bottom w:type="dxa" w:w="0"/>
        <w:right w:type="dxa" w:w="0"/>
      </w:tblCellMar>
    </w:tblPr>
  </w:style>
  <w:style w:styleId="Style_109" w:type="table">
    <w:name w:val="Lined - Accent 5"/>
    <w:rPr>
      <w:color w:val="404040"/>
    </w:rPr>
    <w:tblPr>
      <w:tblInd w:type="dxa" w:w="0"/>
      <w:tblCellMar>
        <w:top w:type="dxa" w:w="0"/>
        <w:left w:type="dxa" w:w="0"/>
        <w:bottom w:type="dxa" w:w="0"/>
        <w:right w:type="dxa" w:w="0"/>
      </w:tblCellMar>
    </w:tblPr>
  </w:style>
  <w:style w:styleId="Style_110" w:type="table">
    <w:name w:val="List Table 4"/>
    <w:tblPr>
      <w:tblInd w:type="dxa" w:w="0"/>
      <w:tblBorders>
        <w:top w:sz="4" w:themeColor="text1" w:val="single"/>
        <w:left w:sz="4" w:themeColor="text1" w:val="single"/>
        <w:bottom w:sz="4" w:themeColor="text1" w:val="single"/>
        <w:right w:sz="4" w:themeColor="text1" w:val="single"/>
        <w:insideH w:sz="4" w:themeColor="text1" w:val="single"/>
      </w:tblBorders>
      <w:tblCellMar>
        <w:top w:type="dxa" w:w="0"/>
        <w:left w:type="dxa" w:w="0"/>
        <w:bottom w:type="dxa" w:w="0"/>
        <w:right w:type="dxa" w:w="0"/>
      </w:tblCellMar>
    </w:tblPr>
  </w:style>
  <w:style w:styleId="Style_111" w:type="table">
    <w:name w:val="List Table 5 Dark - Accent 3"/>
    <w:tblPr>
      <w:tblInd w:type="dxa" w:w="0"/>
      <w:tblBorders>
        <w:top w:sz="32" w:themeColor="accent3" w:themeTint="98" w:val="single"/>
        <w:left w:sz="32" w:themeColor="accent3" w:themeTint="98" w:val="single"/>
        <w:bottom w:sz="32" w:themeColor="accent3" w:themeTint="98" w:val="single"/>
        <w:right w:sz="32" w:themeColor="accent3" w:themeTint="98" w:val="single"/>
      </w:tblBorders>
      <w:tblCellMar>
        <w:top w:type="dxa" w:w="0"/>
        <w:left w:type="dxa" w:w="0"/>
        <w:bottom w:type="dxa" w:w="0"/>
        <w:right w:type="dxa" w:w="0"/>
      </w:tblCellMar>
    </w:tblPr>
  </w:style>
  <w:style w:styleId="Style_112" w:type="table">
    <w:name w:val="Bordered &amp; Lined - Accent 3"/>
    <w:rPr>
      <w:color w:val="404040"/>
    </w:rPr>
    <w:tblPr>
      <w:tblInd w:type="dxa" w:w="0"/>
      <w:tblBorders>
        <w:top w:sz="4" w:themeColor="accent3" w:themeShade="95" w:val="single"/>
        <w:left w:sz="4" w:themeColor="accent3" w:themeShade="95" w:val="single"/>
        <w:bottom w:sz="4" w:themeColor="accent3" w:themeShade="95" w:val="single"/>
        <w:right w:sz="4" w:themeColor="accent3" w:themeShade="95" w:val="single"/>
        <w:insideH w:sz="4" w:themeColor="accent3" w:themeShade="95" w:val="single"/>
        <w:insideV w:sz="4" w:themeColor="accent3" w:themeShade="95" w:val="single"/>
      </w:tblBorders>
      <w:tblCellMar>
        <w:top w:type="dxa" w:w="0"/>
        <w:left w:type="dxa" w:w="0"/>
        <w:bottom w:type="dxa" w:w="0"/>
        <w:right w:type="dxa" w:w="0"/>
      </w:tblCellMar>
    </w:tblPr>
  </w:style>
  <w:style w:styleId="Style_113" w:type="table">
    <w:name w:val="Grid Table 4 - Accent 5"/>
    <w:tblPr>
      <w:tblInd w:type="dxa" w:w="0"/>
      <w:tblBorders>
        <w:top w:sz="4" w:themeColor="accent5" w:themeTint="90" w:val="single"/>
        <w:left w:sz="4" w:themeColor="accent5" w:themeTint="90" w:val="single"/>
        <w:bottom w:sz="4" w:themeColor="accent5" w:themeTint="90" w:val="single"/>
        <w:right w:sz="4" w:themeColor="accent5" w:themeTint="90" w:val="single"/>
        <w:insideH w:sz="4" w:themeColor="accent5" w:themeTint="90" w:val="single"/>
        <w:insideV w:sz="4" w:themeColor="accent5" w:themeTint="90" w:val="single"/>
      </w:tblBorders>
      <w:tblCellMar>
        <w:top w:type="dxa" w:w="0"/>
        <w:left w:type="dxa" w:w="0"/>
        <w:bottom w:type="dxa" w:w="0"/>
        <w:right w:type="dxa" w:w="0"/>
      </w:tblCellMar>
    </w:tblPr>
  </w:style>
  <w:style w:styleId="Style_114" w:type="table">
    <w:name w:val="List Table 5 Dark"/>
    <w:tblPr>
      <w:tblInd w:type="dxa" w:w="0"/>
      <w:tblBorders>
        <w:top w:sz="32" w:themeColor="text1" w:themeTint="80" w:val="single"/>
        <w:left w:sz="32" w:themeColor="text1" w:themeTint="80" w:val="single"/>
        <w:bottom w:sz="32" w:themeColor="text1" w:themeTint="80" w:val="single"/>
        <w:right w:sz="32" w:themeColor="text1" w:themeTint="80" w:val="single"/>
      </w:tblBorders>
      <w:tblCellMar>
        <w:top w:type="dxa" w:w="0"/>
        <w:left w:type="dxa" w:w="0"/>
        <w:bottom w:type="dxa" w:w="0"/>
        <w:right w:type="dxa" w:w="0"/>
      </w:tblCellMar>
    </w:tblPr>
  </w:style>
  <w:style w:styleId="Style_115" w:type="table">
    <w:name w:val="Grid Table 1 Light - Accent 3"/>
    <w:tblPr>
      <w:tblInd w:type="dxa" w:w="0"/>
      <w:tblBorders>
        <w:top w:sz="4" w:themeColor="accent3" w:themeTint="67" w:val="single"/>
        <w:left w:sz="4" w:themeColor="accent3" w:themeTint="67" w:val="single"/>
        <w:bottom w:sz="4" w:themeColor="accent3" w:themeTint="67" w:val="single"/>
        <w:right w:sz="4" w:themeColor="accent3" w:themeTint="67" w:val="single"/>
        <w:insideH w:sz="4" w:themeColor="accent3" w:themeTint="67" w:val="single"/>
        <w:insideV w:sz="4" w:themeColor="accent3" w:themeTint="67" w:val="single"/>
      </w:tblBorders>
      <w:tblCellMar>
        <w:top w:type="dxa" w:w="0"/>
        <w:left w:type="dxa" w:w="0"/>
        <w:bottom w:type="dxa" w:w="0"/>
        <w:right w:type="dxa" w:w="0"/>
      </w:tblCellMar>
    </w:tblPr>
  </w:style>
  <w:style w:styleId="Style_116" w:type="table">
    <w:name w:val="List Table 5 Dark - Accent 1"/>
    <w:tblPr>
      <w:tblInd w:type="dxa" w:w="0"/>
      <w:tblBorders>
        <w:top w:sz="32" w:themeColor="accent1" w:val="single"/>
        <w:left w:sz="32" w:themeColor="accent1" w:val="single"/>
        <w:bottom w:sz="32" w:themeColor="accent1" w:val="single"/>
        <w:right w:sz="32" w:themeColor="accent1" w:val="single"/>
      </w:tblBorders>
      <w:tblCellMar>
        <w:top w:type="dxa" w:w="0"/>
        <w:left w:type="dxa" w:w="0"/>
        <w:bottom w:type="dxa" w:w="0"/>
        <w:right w:type="dxa" w:w="0"/>
      </w:tblCellMar>
    </w:tblPr>
  </w:style>
  <w:style w:styleId="Style_117" w:type="table">
    <w:name w:val="Bordered - Accent 1"/>
    <w:tblPr>
      <w:tblInd w:type="dxa" w:w="0"/>
      <w:tblBorders>
        <w:top w:sz="4" w:themeColor="accent1" w:themeTint="67" w:val="single"/>
        <w:left w:sz="4" w:themeColor="accent1" w:themeTint="67" w:val="single"/>
        <w:bottom w:sz="4" w:themeColor="accent1" w:themeTint="67" w:val="single"/>
        <w:right w:sz="4" w:themeColor="accent1" w:themeTint="67" w:val="single"/>
        <w:insideH w:sz="4" w:themeColor="accent1" w:themeTint="67" w:val="single"/>
        <w:insideV w:sz="4" w:themeColor="accent1" w:themeTint="67" w:val="single"/>
      </w:tblBorders>
      <w:tblCellMar>
        <w:top w:type="dxa" w:w="0"/>
        <w:left w:type="dxa" w:w="0"/>
        <w:bottom w:type="dxa" w:w="0"/>
        <w:right w:type="dxa" w:w="0"/>
      </w:tblCellMar>
    </w:tblPr>
  </w:style>
  <w:style w:styleId="Style_118" w:type="table">
    <w:name w:val="List Table 7 Colorful"/>
    <w:tblPr>
      <w:tblInd w:type="dxa" w:w="0"/>
      <w:tblBorders>
        <w:right w:sz="4" w:themeColor="text1" w:themeTint="80" w:val="single"/>
      </w:tblBorders>
      <w:tblCellMar>
        <w:top w:type="dxa" w:w="0"/>
        <w:left w:type="dxa" w:w="0"/>
        <w:bottom w:type="dxa" w:w="0"/>
        <w:right w:type="dxa" w:w="0"/>
      </w:tblCellMar>
    </w:tblPr>
  </w:style>
  <w:style w:styleId="Style_119" w:type="table">
    <w:name w:val="List Table 4 - Accent 2"/>
    <w:tblPr>
      <w:tblInd w:type="dxa" w:w="0"/>
      <w:tblBorders>
        <w:top w:sz="4" w:themeColor="accent2" w:themeTint="90" w:val="single"/>
        <w:left w:sz="4" w:themeColor="accent2" w:themeTint="90" w:val="single"/>
        <w:bottom w:sz="4" w:themeColor="accent2" w:themeTint="90" w:val="single"/>
        <w:right w:sz="4" w:themeColor="accent2" w:themeTint="90" w:val="single"/>
        <w:insideH w:sz="4" w:themeColor="accent2" w:themeTint="90" w:val="single"/>
      </w:tblBorders>
      <w:tblCellMar>
        <w:top w:type="dxa" w:w="0"/>
        <w:left w:type="dxa" w:w="0"/>
        <w:bottom w:type="dxa" w:w="0"/>
        <w:right w:type="dxa" w:w="0"/>
      </w:tblCellMar>
    </w:tblPr>
  </w:style>
  <w:style w:styleId="Style_120" w:type="table">
    <w:name w:val="Plain Table 5"/>
    <w:tblPr>
      <w:tblInd w:type="dxa" w:w="0"/>
      <w:tblCellMar>
        <w:top w:type="dxa" w:w="0"/>
        <w:left w:type="dxa" w:w="0"/>
        <w:bottom w:type="dxa" w:w="0"/>
        <w:right w:type="dxa" w:w="0"/>
      </w:tblCellMar>
    </w:tblPr>
  </w:style>
  <w:style w:styleId="Style_121" w:type="table">
    <w:name w:val="Grid Table 4 - Accent 6"/>
    <w:tblPr>
      <w:tblInd w:type="dxa" w:w="0"/>
      <w:tblBorders>
        <w:top w:sz="4" w:themeColor="accent6" w:themeTint="90" w:val="single"/>
        <w:left w:sz="4" w:themeColor="accent6" w:themeTint="90" w:val="single"/>
        <w:bottom w:sz="4" w:themeColor="accent6" w:themeTint="90" w:val="single"/>
        <w:right w:sz="4" w:themeColor="accent6" w:themeTint="90" w:val="single"/>
        <w:insideH w:sz="4" w:themeColor="accent6" w:themeTint="90" w:val="single"/>
        <w:insideV w:sz="4" w:themeColor="accent6" w:themeTint="90" w:val="single"/>
      </w:tblBorders>
      <w:tblCellMar>
        <w:top w:type="dxa" w:w="0"/>
        <w:left w:type="dxa" w:w="0"/>
        <w:bottom w:type="dxa" w:w="0"/>
        <w:right w:type="dxa" w:w="0"/>
      </w:tblCellMar>
    </w:tblPr>
  </w:style>
  <w:style w:styleId="Style_122" w:type="table">
    <w:name w:val="Bordered"/>
    <w:tblPr>
      <w:tblInd w:type="dxa" w:w="0"/>
      <w:tblBorders>
        <w:top w:sz="4" w:themeColor="text1" w:themeTint="26" w:val="single"/>
        <w:left w:sz="4" w:themeColor="text1" w:themeTint="26" w:val="single"/>
        <w:bottom w:sz="4" w:themeColor="text1" w:themeTint="26" w:val="single"/>
        <w:right w:sz="4" w:themeColor="text1" w:themeTint="26" w:val="single"/>
        <w:insideH w:sz="4" w:themeColor="text1" w:themeTint="26" w:val="single"/>
        <w:insideV w:sz="4" w:themeColor="text1" w:themeTint="26" w:val="single"/>
      </w:tblBorders>
      <w:tblCellMar>
        <w:top w:type="dxa" w:w="0"/>
        <w:left w:type="dxa" w:w="0"/>
        <w:bottom w:type="dxa" w:w="0"/>
        <w:right w:type="dxa" w:w="0"/>
      </w:tblCellMar>
    </w:tblPr>
  </w:style>
  <w:style w:styleId="Style_123" w:type="table">
    <w:name w:val="List Table 3 - Accent 2"/>
    <w:tblPr>
      <w:tblInd w:type="dxa" w:w="0"/>
      <w:tblBorders>
        <w:top w:sz="4" w:themeColor="accent2" w:themeTint="97" w:val="single"/>
        <w:left w:sz="4" w:themeColor="accent2" w:themeTint="97" w:val="single"/>
        <w:bottom w:sz="4" w:themeColor="accent2" w:themeTint="97" w:val="single"/>
        <w:right w:sz="4" w:themeColor="accent2" w:themeTint="97" w:val="single"/>
      </w:tblBorders>
      <w:tblCellMar>
        <w:top w:type="dxa" w:w="0"/>
        <w:left w:type="dxa" w:w="0"/>
        <w:bottom w:type="dxa" w:w="0"/>
        <w:right w:type="dxa" w:w="0"/>
      </w:tblCellMar>
    </w:tblPr>
  </w:style>
  <w:style w:styleId="Style_124" w:type="table">
    <w:name w:val="Bordered - Accent 5"/>
    <w:tblPr>
      <w:tblInd w:type="dxa" w:w="0"/>
      <w:tblBorders>
        <w:top w:sz="4" w:themeColor="accent5" w:themeTint="67" w:val="single"/>
        <w:left w:sz="4" w:themeColor="accent5" w:themeTint="67" w:val="single"/>
        <w:bottom w:sz="4" w:themeColor="accent5" w:themeTint="67" w:val="single"/>
        <w:right w:sz="4" w:themeColor="accent5" w:themeTint="67" w:val="single"/>
        <w:insideH w:sz="4" w:themeColor="accent5" w:themeTint="67" w:val="single"/>
        <w:insideV w:sz="4" w:themeColor="accent5" w:themeTint="67" w:val="single"/>
      </w:tblBorders>
      <w:tblCellMar>
        <w:top w:type="dxa" w:w="0"/>
        <w:left w:type="dxa" w:w="0"/>
        <w:bottom w:type="dxa" w:w="0"/>
        <w:right w:type="dxa" w:w="0"/>
      </w:tblCellMar>
    </w:tblPr>
  </w:style>
  <w:style w:styleId="Style_125" w:type="table">
    <w:name w:val="Lined - Accent 4"/>
    <w:rPr>
      <w:color w:val="404040"/>
    </w:rPr>
    <w:tblPr>
      <w:tblInd w:type="dxa" w:w="0"/>
      <w:tblCellMar>
        <w:top w:type="dxa" w:w="0"/>
        <w:left w:type="dxa" w:w="0"/>
        <w:bottom w:type="dxa" w:w="0"/>
        <w:right w:type="dxa" w:w="0"/>
      </w:tblCellMar>
    </w:tblPr>
  </w:style>
  <w:style w:styleId="Style_126" w:type="table">
    <w:name w:val="Grid Table 2 - Accent 3"/>
    <w:tblPr>
      <w:tblInd w:type="dxa" w:w="0"/>
      <w:tblBorders>
        <w:bottom w:sz="4" w:themeColor="accent3" w:themeTint="FE" w:val="single"/>
        <w:insideH w:sz="4" w:themeColor="accent3" w:themeTint="FE" w:val="single"/>
        <w:insideV w:sz="4" w:themeColor="accent3" w:themeTint="FE" w:val="single"/>
      </w:tblBorders>
      <w:tblCellMar>
        <w:top w:type="dxa" w:w="0"/>
        <w:left w:type="dxa" w:w="0"/>
        <w:bottom w:type="dxa" w:w="0"/>
        <w:right w:type="dxa" w:w="0"/>
      </w:tblCellMar>
    </w:tblPr>
  </w:style>
  <w:style w:styleId="Style_127" w:type="table">
    <w:name w:val="Grid Table 7 Colorful - Accent 2"/>
    <w:tblPr>
      <w:tblInd w:type="dxa" w:w="0"/>
      <w:tblBorders>
        <w:bottom w:sz="4" w:themeColor="accent2" w:themeTint="97" w:val="single"/>
        <w:right w:sz="4" w:themeColor="accent2" w:themeTint="97" w:val="single"/>
        <w:insideH w:sz="4" w:themeColor="accent2" w:themeTint="97" w:val="single"/>
        <w:insideV w:sz="4" w:themeColor="accent2" w:themeTint="97" w:val="single"/>
      </w:tblBorders>
      <w:tblCellMar>
        <w:top w:type="dxa" w:w="0"/>
        <w:left w:type="dxa" w:w="0"/>
        <w:bottom w:type="dxa" w:w="0"/>
        <w:right w:type="dxa" w:w="0"/>
      </w:tblCellMar>
    </w:tblPr>
  </w:style>
  <w:style w:styleId="Style_128" w:type="table">
    <w:name w:val="Grid Table 7 Colorful - Accent 1"/>
    <w:tblPr>
      <w:tblInd w:type="dxa" w:w="0"/>
      <w:tblBorders>
        <w:bottom w:sz="4" w:themeColor="accent1" w:themeTint="80" w:val="single"/>
        <w:right w:sz="4" w:themeColor="accent1" w:themeTint="80" w:val="single"/>
        <w:insideH w:sz="4" w:themeColor="accent1" w:themeTint="80" w:val="single"/>
        <w:insideV w:sz="4" w:themeColor="accent1" w:themeTint="80" w:val="single"/>
      </w:tblBorders>
      <w:tblCellMar>
        <w:top w:type="dxa" w:w="0"/>
        <w:left w:type="dxa" w:w="0"/>
        <w:bottom w:type="dxa" w:w="0"/>
        <w:right w:type="dxa" w:w="0"/>
      </w:tblCellMar>
    </w:tblPr>
  </w:style>
  <w:style w:styleId="Style_129" w:type="table">
    <w:name w:val="Grid Table 4 - Accent 2"/>
    <w:tblPr>
      <w:tblInd w:type="dxa" w:w="0"/>
      <w:tblBorders>
        <w:top w:sz="4" w:themeColor="accent2" w:themeTint="90" w:val="single"/>
        <w:left w:sz="4" w:themeColor="accent2" w:themeTint="90" w:val="single"/>
        <w:bottom w:sz="4" w:themeColor="accent2" w:themeTint="90" w:val="single"/>
        <w:right w:sz="4" w:themeColor="accent2" w:themeTint="90" w:val="single"/>
        <w:insideH w:sz="4" w:themeColor="accent2" w:themeTint="90" w:val="single"/>
        <w:insideV w:sz="4" w:themeColor="accent2" w:themeTint="90" w:val="single"/>
      </w:tblBorders>
      <w:tblCellMar>
        <w:top w:type="dxa" w:w="0"/>
        <w:left w:type="dxa" w:w="0"/>
        <w:bottom w:type="dxa" w:w="0"/>
        <w:right w:type="dxa" w:w="0"/>
      </w:tblCellMar>
    </w:tblPr>
  </w:style>
  <w:style w:styleId="Style_130" w:type="table">
    <w:name w:val="List Table 1 Light - Accent 3"/>
    <w:tblPr>
      <w:tblInd w:type="dxa" w:w="0"/>
      <w:tblCellMar>
        <w:top w:type="dxa" w:w="0"/>
        <w:left w:type="dxa" w:w="0"/>
        <w:bottom w:type="dxa" w:w="0"/>
        <w:right w:type="dxa" w:w="0"/>
      </w:tblCellMar>
    </w:tblPr>
  </w:style>
  <w:style w:styleId="Style_131" w:type="table">
    <w:name w:val="Plain Table 1"/>
    <w:tblPr>
      <w:tblInd w:type="dxa" w:w="0"/>
      <w:tblBorders>
        <w:top w:sz="4" w:themeColor="text1" w:themeTint="50" w:val="single"/>
        <w:left w:sz="4" w:themeColor="text1" w:themeTint="50" w:val="single"/>
        <w:bottom w:sz="4" w:themeColor="text1" w:themeTint="50" w:val="single"/>
        <w:right w:sz="4" w:themeColor="text1" w:themeTint="50" w:val="single"/>
        <w:insideH w:sz="4" w:themeColor="text1" w:themeTint="50" w:val="single"/>
        <w:insideV w:sz="4" w:themeColor="text1" w:themeTint="50" w:val="single"/>
      </w:tblBorders>
      <w:tblCellMar>
        <w:top w:type="dxa" w:w="0"/>
        <w:left w:type="dxa" w:w="108"/>
        <w:bottom w:type="dxa" w:w="0"/>
        <w:right w:type="dxa" w:w="108"/>
      </w:tblCellMar>
    </w:tblPr>
  </w:style>
  <w:style w:styleId="Style_132" w:type="table">
    <w:name w:val="List Table 7 Colorful - Accent 6"/>
    <w:tblPr>
      <w:tblInd w:type="dxa" w:w="0"/>
      <w:tblBorders>
        <w:right w:sz="4" w:themeColor="accent6" w:themeTint="98" w:val="single"/>
      </w:tblBorders>
      <w:tblCellMar>
        <w:top w:type="dxa" w:w="0"/>
        <w:left w:type="dxa" w:w="0"/>
        <w:bottom w:type="dxa" w:w="0"/>
        <w:right w:type="dxa" w:w="0"/>
      </w:tblCellMar>
    </w:tblPr>
  </w:style>
  <w:style w:styleId="Style_133" w:type="table">
    <w:name w:val="List Table 1 Light - Accent 6"/>
    <w:tblPr>
      <w:tblInd w:type="dxa" w:w="0"/>
      <w:tblCellMar>
        <w:top w:type="dxa" w:w="0"/>
        <w:left w:type="dxa" w:w="0"/>
        <w:bottom w:type="dxa" w:w="0"/>
        <w:right w:type="dxa" w:w="0"/>
      </w:tblCellMar>
    </w:tblPr>
  </w:style>
  <w:style w:styleId="Style_134" w:type="table">
    <w:name w:val="Grid Table 3 - Accent 3"/>
    <w:tblPr>
      <w:tblInd w:type="dxa" w:w="0"/>
      <w:tblBorders>
        <w:bottom w:sz="4" w:themeColor="accent3" w:themeTint="FE" w:val="single"/>
        <w:insideH w:sz="4" w:themeColor="accent3" w:themeTint="FE" w:val="single"/>
        <w:insideV w:sz="4" w:themeColor="accent3" w:themeTint="FE" w:val="single"/>
      </w:tblBorders>
      <w:tblCellMar>
        <w:top w:type="dxa" w:w="0"/>
        <w:left w:type="dxa" w:w="0"/>
        <w:bottom w:type="dxa" w:w="0"/>
        <w:right w:type="dxa" w:w="0"/>
      </w:tblCellMar>
    </w:tblPr>
  </w:style>
  <w:style w:styleId="Style_135" w:type="table">
    <w:name w:val="Grid Table 4"/>
    <w:tblPr>
      <w:tblInd w:type="dxa" w:w="0"/>
      <w:tblBorders>
        <w:top w:sz="4" w:themeColor="text1" w:themeTint="90" w:val="single"/>
        <w:left w:sz="4" w:themeColor="text1" w:themeTint="90" w:val="single"/>
        <w:bottom w:sz="4" w:themeColor="text1" w:themeTint="90" w:val="single"/>
        <w:right w:sz="4" w:themeColor="text1" w:themeTint="90" w:val="single"/>
        <w:insideH w:sz="4" w:themeColor="text1" w:themeTint="90" w:val="single"/>
        <w:insideV w:sz="4" w:themeColor="text1" w:themeTint="90" w:val="single"/>
      </w:tblBorders>
      <w:tblCellMar>
        <w:top w:type="dxa" w:w="0"/>
        <w:left w:type="dxa" w:w="0"/>
        <w:bottom w:type="dxa" w:w="0"/>
        <w:right w:type="dxa" w:w="0"/>
      </w:tblCellMar>
    </w:tblPr>
  </w:style>
  <w:style w:styleId="Style_136" w:type="table">
    <w:name w:val="Lined - Accent"/>
    <w:rPr>
      <w:color w:val="404040"/>
    </w:rPr>
    <w:tblPr>
      <w:tblInd w:type="dxa" w:w="0"/>
      <w:tblCellMar>
        <w:top w:type="dxa" w:w="0"/>
        <w:left w:type="dxa" w:w="0"/>
        <w:bottom w:type="dxa" w:w="0"/>
        <w:right w:type="dxa" w:w="0"/>
      </w:tblCellMar>
    </w:tblPr>
  </w:style>
  <w:style w:styleId="Style_137" w:type="table">
    <w:name w:val="List Table 1 Light - Accent 5"/>
    <w:tblPr>
      <w:tblInd w:type="dxa" w:w="0"/>
      <w:tblCellMar>
        <w:top w:type="dxa" w:w="0"/>
        <w:left w:type="dxa" w:w="0"/>
        <w:bottom w:type="dxa" w:w="0"/>
        <w:right w:type="dxa" w:w="0"/>
      </w:tblCellMar>
    </w:tblPr>
  </w:style>
  <w:style w:styleId="Style_138" w:type="table">
    <w:name w:val="Grid Table 7 Colorful - Accent 4"/>
    <w:tblPr>
      <w:tblInd w:type="dxa" w:w="0"/>
      <w:tblBorders>
        <w:bottom w:sz="4" w:themeColor="accent4" w:themeTint="9A" w:val="single"/>
        <w:right w:sz="4" w:themeColor="accent4" w:themeTint="9A" w:val="single"/>
        <w:insideH w:sz="4" w:themeColor="accent4" w:themeTint="9A" w:val="single"/>
        <w:insideV w:sz="4" w:themeColor="accent4" w:themeTint="9A" w:val="single"/>
      </w:tblBorders>
      <w:tblCellMar>
        <w:top w:type="dxa" w:w="0"/>
        <w:left w:type="dxa" w:w="0"/>
        <w:bottom w:type="dxa" w:w="0"/>
        <w:right w:type="dxa" w:w="0"/>
      </w:tblCellMar>
    </w:tblPr>
  </w:style>
  <w:style w:styleId="Style_139" w:type="table">
    <w:name w:val="Bordered &amp; Lined - Accent 2"/>
    <w:rPr>
      <w:color w:val="404040"/>
    </w:rPr>
    <w:tblPr>
      <w:tblInd w:type="dxa" w:w="0"/>
      <w:tblBorders>
        <w:top w:sz="4" w:themeColor="accent2" w:themeShade="95" w:val="single"/>
        <w:left w:sz="4" w:themeColor="accent2" w:themeShade="95" w:val="single"/>
        <w:bottom w:sz="4" w:themeColor="accent2" w:themeShade="95" w:val="single"/>
        <w:right w:sz="4" w:themeColor="accent2" w:themeShade="95" w:val="single"/>
        <w:insideH w:sz="4" w:themeColor="accent2" w:themeShade="95" w:val="single"/>
        <w:insideV w:sz="4" w:themeColor="accent2" w:themeShade="95" w:val="single"/>
      </w:tblBorders>
      <w:tblCellMar>
        <w:top w:type="dxa" w:w="0"/>
        <w:left w:type="dxa" w:w="0"/>
        <w:bottom w:type="dxa" w:w="0"/>
        <w:right w:type="dxa" w:w="0"/>
      </w:tblCellMar>
    </w:tblPr>
  </w:style>
  <w:style w:styleId="Style_140" w:type="table">
    <w:name w:val="Grid Table 2 - Accent 5"/>
    <w:tblPr>
      <w:tblInd w:type="dxa" w:w="0"/>
      <w:tblBorders>
        <w:bottom w:sz="4" w:themeColor="accent5" w:val="single"/>
        <w:insideH w:sz="4" w:themeColor="accent5" w:val="single"/>
        <w:insideV w:sz="4" w:themeColor="accent5" w:val="single"/>
      </w:tblBorders>
      <w:tblCellMar>
        <w:top w:type="dxa" w:w="0"/>
        <w:left w:type="dxa" w:w="0"/>
        <w:bottom w:type="dxa" w:w="0"/>
        <w:right w:type="dxa" w:w="0"/>
      </w:tblCellMar>
    </w:tblPr>
  </w:style>
  <w:style w:styleId="Style_141" w:type="table">
    <w:name w:val="Bordered - Accent 6"/>
    <w:tblPr>
      <w:tblInd w:type="dxa" w:w="0"/>
      <w:tblBorders>
        <w:top w:sz="4" w:themeColor="accent6" w:themeTint="67" w:val="single"/>
        <w:left w:sz="4" w:themeColor="accent6" w:themeTint="67" w:val="single"/>
        <w:bottom w:sz="4" w:themeColor="accent6" w:themeTint="67" w:val="single"/>
        <w:right w:sz="4" w:themeColor="accent6" w:themeTint="67" w:val="single"/>
        <w:insideH w:sz="4" w:themeColor="accent6" w:themeTint="67" w:val="single"/>
        <w:insideV w:sz="4" w:themeColor="accent6" w:themeTint="67" w:val="single"/>
      </w:tblBorders>
      <w:tblCellMar>
        <w:top w:type="dxa" w:w="0"/>
        <w:left w:type="dxa" w:w="0"/>
        <w:bottom w:type="dxa" w:w="0"/>
        <w:right w:type="dxa" w:w="0"/>
      </w:tblCellMar>
    </w:tblPr>
  </w:style>
  <w:style w:styleId="Style_142" w:type="table">
    <w:name w:val="List Table 3 - Accent 5"/>
    <w:tblPr>
      <w:tblInd w:type="dxa" w:w="0"/>
      <w:tblBorders>
        <w:top w:sz="4" w:themeColor="accent5" w:themeTint="9A" w:val="single"/>
        <w:left w:sz="4" w:themeColor="accent5" w:themeTint="9A" w:val="single"/>
        <w:bottom w:sz="4" w:themeColor="accent5" w:themeTint="9A" w:val="single"/>
        <w:right w:sz="4" w:themeColor="accent5" w:themeTint="9A" w:val="single"/>
      </w:tblBorders>
      <w:tblCellMar>
        <w:top w:type="dxa" w:w="0"/>
        <w:left w:type="dxa" w:w="0"/>
        <w:bottom w:type="dxa" w:w="0"/>
        <w:right w:type="dxa" w:w="0"/>
      </w:tblCellMar>
    </w:tblPr>
  </w:style>
  <w:style w:styleId="Style_143" w:type="table">
    <w:name w:val="List Table 7 Colorful - Accent 1"/>
    <w:tblPr>
      <w:tblInd w:type="dxa" w:w="0"/>
      <w:tblBorders>
        <w:right w:sz="4" w:themeColor="accent1" w:val="single"/>
      </w:tblBorders>
      <w:tblCellMar>
        <w:top w:type="dxa" w:w="0"/>
        <w:left w:type="dxa" w:w="0"/>
        <w:bottom w:type="dxa" w:w="0"/>
        <w:right w:type="dxa" w:w="0"/>
      </w:tblCellMar>
    </w:tblPr>
  </w:style>
  <w:style w:styleId="Style_144" w:type="table">
    <w:name w:val="Bordered &amp; Lined - Accent 1"/>
    <w:rPr>
      <w:color w:val="404040"/>
    </w:rPr>
    <w:tblPr>
      <w:tblInd w:type="dxa" w:w="0"/>
      <w:tblBorders>
        <w:top w:sz="4" w:themeColor="accent1" w:themeShade="95" w:val="single"/>
        <w:left w:sz="4" w:themeColor="accent1" w:themeShade="95" w:val="single"/>
        <w:bottom w:sz="4" w:themeColor="accent1" w:themeShade="95" w:val="single"/>
        <w:right w:sz="4" w:themeColor="accent1" w:themeShade="95" w:val="single"/>
        <w:insideH w:sz="4" w:themeColor="accent1" w:themeShade="95" w:val="single"/>
        <w:insideV w:sz="4" w:themeColor="accent1" w:themeShade="95" w:val="single"/>
      </w:tblBorders>
      <w:tblCellMar>
        <w:top w:type="dxa" w:w="0"/>
        <w:left w:type="dxa" w:w="0"/>
        <w:bottom w:type="dxa" w:w="0"/>
        <w:right w:type="dxa" w:w="0"/>
      </w:tblCellMar>
    </w:tblPr>
  </w:style>
  <w:style w:styleId="Style_145" w:type="table">
    <w:name w:val="Bordered &amp; Lined - Accent"/>
    <w:rPr>
      <w:color w:val="404040"/>
    </w:rPr>
    <w:tblPr>
      <w:tblInd w:type="dxa" w:w="0"/>
      <w:tblBorders>
        <w:top w:sz="4" w:themeColor="text1" w:themeTint="A6" w:val="single"/>
        <w:left w:sz="4" w:themeColor="text1" w:themeTint="A6" w:val="single"/>
        <w:bottom w:sz="4" w:themeColor="text1" w:themeTint="A6" w:val="single"/>
        <w:right w:sz="4" w:themeColor="text1" w:themeTint="A6" w:val="single"/>
        <w:insideH w:sz="4" w:themeColor="text1" w:themeTint="A6" w:val="single"/>
        <w:insideV w:sz="4" w:themeColor="text1" w:themeTint="A6" w:val="single"/>
      </w:tblBorders>
      <w:tblCellMar>
        <w:top w:type="dxa" w:w="0"/>
        <w:left w:type="dxa" w:w="0"/>
        <w:bottom w:type="dxa" w:w="0"/>
        <w:right w:type="dxa" w:w="0"/>
      </w:tblCellMar>
    </w:tblPr>
  </w:style>
  <w:style w:styleId="Style_146" w:type="table">
    <w:name w:val="Grid Table 3"/>
    <w:tblPr>
      <w:tblInd w:type="dxa" w:w="0"/>
      <w:tblBorders>
        <w:bottom w:sz="4" w:themeColor="text1" w:themeTint="95" w:val="single"/>
        <w:insideH w:sz="4" w:themeColor="text1" w:themeTint="95" w:val="single"/>
        <w:insideV w:sz="4" w:themeColor="text1" w:themeTint="95" w:val="single"/>
      </w:tblBorders>
      <w:tblCellMar>
        <w:top w:type="dxa" w:w="0"/>
        <w:left w:type="dxa" w:w="0"/>
        <w:bottom w:type="dxa" w:w="0"/>
        <w:right w:type="dxa" w:w="0"/>
      </w:tblCellMar>
    </w:tblPr>
  </w:style>
  <w:style w:styleId="Style_147" w:type="table">
    <w:name w:val="Grid Table 5 Dark - Accent 5"/>
    <w:tblPr>
      <w:tblInd w:type="dxa" w:w="0"/>
      <w:tblBorders>
        <w:top w:sz="4" w:themeColor="light1" w:val="single"/>
        <w:left w:sz="4" w:themeColor="light1" w:val="single"/>
        <w:bottom w:sz="4" w:themeColor="light1" w:val="single"/>
        <w:right w:sz="4" w:themeColor="light1" w:val="single"/>
        <w:insideH w:sz="4" w:themeColor="light1" w:val="single"/>
        <w:insideV w:sz="4" w:themeColor="light1" w:val="single"/>
      </w:tblBorders>
      <w:tblCellMar>
        <w:top w:type="dxa" w:w="0"/>
        <w:left w:type="dxa" w:w="0"/>
        <w:bottom w:type="dxa" w:w="0"/>
        <w:right w:type="dxa" w:w="0"/>
      </w:tblCellMar>
    </w:tblPr>
  </w:style>
  <w:style w:styleId="Style_148" w:type="table">
    <w:name w:val="Grid Table 7 Colorful - Accent 5"/>
    <w:tblPr>
      <w:tblInd w:type="dxa" w:w="0"/>
      <w:tblBorders>
        <w:bottom w:sz="4" w:themeColor="accent5" w:themeTint="90" w:val="single"/>
        <w:right w:sz="4" w:themeColor="accent5" w:themeTint="90" w:val="single"/>
        <w:insideH w:sz="4" w:themeColor="accent5" w:themeTint="90" w:val="single"/>
        <w:insideV w:sz="4" w:themeColor="accent5" w:themeTint="90" w:val="single"/>
      </w:tblBorders>
      <w:tblCellMar>
        <w:top w:type="dxa" w:w="0"/>
        <w:left w:type="dxa" w:w="0"/>
        <w:bottom w:type="dxa" w:w="0"/>
        <w:right w:type="dxa" w:w="0"/>
      </w:tblCellMar>
    </w:tblPr>
  </w:style>
  <w:style w:styleId="Style_149" w:type="table">
    <w:name w:val="Table Grid"/>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150" w:type="table">
    <w:name w:val="Grid Table 4 - Accent 4"/>
    <w:tblPr>
      <w:tblInd w:type="dxa" w:w="0"/>
      <w:tblBorders>
        <w:top w:sz="4" w:themeColor="accent4" w:themeTint="90" w:val="single"/>
        <w:left w:sz="4" w:themeColor="accent4" w:themeTint="90" w:val="single"/>
        <w:bottom w:sz="4" w:themeColor="accent4" w:themeTint="90" w:val="single"/>
        <w:right w:sz="4" w:themeColor="accent4" w:themeTint="90" w:val="single"/>
        <w:insideH w:sz="4" w:themeColor="accent4" w:themeTint="90" w:val="single"/>
        <w:insideV w:sz="4" w:themeColor="accent4" w:themeTint="90" w:val="single"/>
      </w:tblBorders>
      <w:tblCellMar>
        <w:top w:type="dxa" w:w="0"/>
        <w:left w:type="dxa" w:w="0"/>
        <w:bottom w:type="dxa" w:w="0"/>
        <w:right w:type="dxa" w:w="0"/>
      </w:tblCellMar>
    </w:tblPr>
  </w:style>
  <w:style w:styleId="Style_151" w:type="table">
    <w:name w:val="List Table 7 Colorful - Accent 3"/>
    <w:tblPr>
      <w:tblInd w:type="dxa" w:w="0"/>
      <w:tblBorders>
        <w:right w:sz="4" w:themeColor="accent3" w:themeTint="98" w:val="single"/>
      </w:tblBorders>
      <w:tblCellMar>
        <w:top w:type="dxa" w:w="0"/>
        <w:left w:type="dxa" w:w="0"/>
        <w:bottom w:type="dxa" w:w="0"/>
        <w:right w:type="dxa" w:w="0"/>
      </w:tblCellMar>
    </w:tblPr>
  </w:style>
  <w:style w:styleId="Style_152" w:type="table">
    <w:name w:val="Grid Table 5 Dark - Accent 3"/>
    <w:tblPr>
      <w:tblInd w:type="dxa" w:w="0"/>
      <w:tblBorders>
        <w:top w:sz="4" w:themeColor="light1" w:val="single"/>
        <w:left w:sz="4" w:themeColor="light1" w:val="single"/>
        <w:bottom w:sz="4" w:themeColor="light1" w:val="single"/>
        <w:right w:sz="4" w:themeColor="light1" w:val="single"/>
        <w:insideH w:sz="4" w:themeColor="light1" w:val="single"/>
        <w:insideV w:sz="4" w:themeColor="light1" w:val="single"/>
      </w:tblBorders>
      <w:tblCellMar>
        <w:top w:type="dxa" w:w="0"/>
        <w:left w:type="dxa" w:w="0"/>
        <w:bottom w:type="dxa" w:w="0"/>
        <w:right w:type="dxa" w:w="0"/>
      </w:tblCellMar>
    </w:tblPr>
  </w:style>
  <w:style w:styleId="Style_153" w:type="table">
    <w:name w:val="Lined - Accent 6"/>
    <w:rPr>
      <w:color w:val="404040"/>
    </w:rPr>
    <w:tblPr>
      <w:tblInd w:type="dxa" w:w="0"/>
      <w:tblCellMar>
        <w:top w:type="dxa" w:w="0"/>
        <w:left w:type="dxa" w:w="0"/>
        <w:bottom w:type="dxa" w:w="0"/>
        <w:right w:type="dxa" w:w="0"/>
      </w:tblCellMar>
    </w:tblPr>
  </w:style>
  <w:style w:styleId="Style_154" w:type="table">
    <w:name w:val="List Table 2 - Accent 3"/>
    <w:tblPr>
      <w:tblInd w:type="dxa" w:w="0"/>
      <w:tblBorders>
        <w:top w:sz="4" w:themeColor="accent3" w:themeTint="90" w:val="single"/>
        <w:bottom w:sz="4" w:themeColor="accent3" w:themeTint="90" w:val="single"/>
        <w:insideH w:sz="4" w:themeColor="accent3" w:themeTint="90" w:val="single"/>
      </w:tblBorders>
      <w:tblCellMar>
        <w:top w:type="dxa" w:w="0"/>
        <w:left w:type="dxa" w:w="0"/>
        <w:bottom w:type="dxa" w:w="0"/>
        <w:right w:type="dxa" w:w="0"/>
      </w:tblCellMar>
    </w:tblPr>
  </w:style>
  <w:style w:styleId="Style_155" w:type="table">
    <w:name w:val="Bordered &amp; Lined - Accent 6"/>
    <w:rPr>
      <w:color w:val="404040"/>
    </w:rPr>
    <w:tblPr>
      <w:tblInd w:type="dxa" w:w="0"/>
      <w:tblBorders>
        <w:top w:sz="4" w:themeColor="accent6" w:themeShade="95" w:val="single"/>
        <w:left w:sz="4" w:themeColor="accent6" w:themeShade="95" w:val="single"/>
        <w:bottom w:sz="4" w:themeColor="accent6" w:themeShade="95" w:val="single"/>
        <w:right w:sz="4" w:themeColor="accent6" w:themeShade="95" w:val="single"/>
        <w:insideH w:sz="4" w:themeColor="accent6" w:themeShade="95" w:val="single"/>
        <w:insideV w:sz="4" w:themeColor="accent6" w:themeShade="95" w:val="single"/>
      </w:tblBorders>
      <w:tblCellMar>
        <w:top w:type="dxa" w:w="0"/>
        <w:left w:type="dxa" w:w="0"/>
        <w:bottom w:type="dxa" w:w="0"/>
        <w:right w:type="dxa" w:w="0"/>
      </w:tblCellMar>
    </w:tblPr>
  </w:style>
  <w:style w:styleId="Style_156" w:type="table">
    <w:name w:val="List Table 6 Colorful - Accent 3"/>
    <w:tblPr>
      <w:tblInd w:type="dxa" w:w="0"/>
      <w:tblBorders>
        <w:top w:sz="4" w:themeColor="accent3" w:themeTint="98" w:val="single"/>
        <w:bottom w:sz="4" w:themeColor="accent3" w:themeTint="98" w:val="single"/>
      </w:tblBorders>
      <w:tblCellMar>
        <w:top w:type="dxa" w:w="0"/>
        <w:left w:type="dxa" w:w="0"/>
        <w:bottom w:type="dxa" w:w="0"/>
        <w:right w:type="dxa" w:w="0"/>
      </w:tblCellMar>
    </w:tblPr>
  </w:style>
  <w:style w:styleId="Style_157" w:type="table">
    <w:name w:val="Grid Table 1 Light - Accent 2"/>
    <w:tblPr>
      <w:tblInd w:type="dxa" w:w="0"/>
      <w:tblBorders>
        <w:top w:sz="4" w:themeColor="accent2" w:themeTint="67" w:val="single"/>
        <w:left w:sz="4" w:themeColor="accent2" w:themeTint="67" w:val="single"/>
        <w:bottom w:sz="4" w:themeColor="accent2" w:themeTint="67" w:val="single"/>
        <w:right w:sz="4" w:themeColor="accent2" w:themeTint="67" w:val="single"/>
        <w:insideH w:sz="4" w:themeColor="accent2" w:themeTint="67" w:val="single"/>
        <w:insideV w:sz="4" w:themeColor="accent2" w:themeTint="67" w:val="single"/>
      </w:tblBorders>
      <w:tblCellMar>
        <w:top w:type="dxa" w:w="0"/>
        <w:left w:type="dxa" w:w="0"/>
        <w:bottom w:type="dxa" w:w="0"/>
        <w:right w:type="dxa" w:w="0"/>
      </w:tblCellMar>
    </w:tblPr>
  </w:style>
  <w:style w:styleId="Style_158" w:type="table">
    <w:name w:val="List Table 3"/>
    <w:tblPr>
      <w:tblInd w:type="dxa" w:w="0"/>
      <w:tblBorders>
        <w:top w:sz="4" w:themeColor="text1" w:val="single"/>
        <w:left w:sz="4" w:themeColor="text1" w:val="single"/>
        <w:bottom w:sz="4" w:themeColor="text1" w:val="single"/>
        <w:right w:sz="4" w:themeColor="text1" w:val="single"/>
      </w:tblBorders>
      <w:tblCellMar>
        <w:top w:type="dxa" w:w="0"/>
        <w:left w:type="dxa" w:w="0"/>
        <w:bottom w:type="dxa" w:w="0"/>
        <w:right w:type="dxa" w:w="0"/>
      </w:tblCellMar>
    </w:tblPr>
  </w:style>
  <w:style w:styleId="Style_159" w:type="table">
    <w:name w:val="Grid Table 6 Colorful - Accent 1"/>
    <w:tblPr>
      <w:tblInd w:type="dxa" w:w="0"/>
      <w:tblBorders>
        <w:top w:sz="4" w:themeColor="accent1" w:themeTint="80" w:val="single"/>
        <w:left w:sz="4" w:themeColor="accent1" w:themeTint="80" w:val="single"/>
        <w:bottom w:sz="4" w:themeColor="accent1" w:themeTint="80" w:val="single"/>
        <w:right w:sz="4" w:themeColor="accent1" w:themeTint="80" w:val="single"/>
        <w:insideH w:sz="4" w:themeColor="accent1" w:themeTint="80" w:val="single"/>
        <w:insideV w:sz="4" w:themeColor="accent1" w:themeTint="80" w:val="single"/>
      </w:tblBorders>
      <w:tblCellMar>
        <w:top w:type="dxa" w:w="0"/>
        <w:left w:type="dxa" w:w="0"/>
        <w:bottom w:type="dxa" w:w="0"/>
        <w:right w:type="dxa" w:w="0"/>
      </w:tblCellMar>
    </w:tblPr>
  </w:style>
  <w:style w:styleId="Style_160" w:type="table">
    <w:name w:val="Grid Table 6 Colorful - Accent 3"/>
    <w:tblPr>
      <w:tblInd w:type="dxa" w:w="0"/>
      <w:tblBorders>
        <w:top w:sz="4" w:themeColor="accent3" w:themeTint="FE" w:val="single"/>
        <w:left w:sz="4" w:themeColor="accent3" w:themeTint="FE" w:val="single"/>
        <w:bottom w:sz="4" w:themeColor="accent3" w:themeTint="FE" w:val="single"/>
        <w:right w:sz="4" w:themeColor="accent3" w:themeTint="FE" w:val="single"/>
        <w:insideH w:sz="4" w:themeColor="accent3" w:themeTint="FE" w:val="single"/>
        <w:insideV w:sz="4" w:themeColor="accent3" w:themeTint="FE" w:val="single"/>
      </w:tblBorders>
      <w:tblCellMar>
        <w:top w:type="dxa" w:w="0"/>
        <w:left w:type="dxa" w:w="0"/>
        <w:bottom w:type="dxa" w:w="0"/>
        <w:right w:type="dxa" w:w="0"/>
      </w:tblCellMar>
    </w:tblPr>
  </w:style>
  <w:style w:styleId="Style_161" w:type="table">
    <w:name w:val="Plain Table 4"/>
    <w:tblPr>
      <w:tblInd w:type="dxa" w:w="0"/>
      <w:tblCellMar>
        <w:top w:type="dxa" w:w="0"/>
        <w:left w:type="dxa" w:w="0"/>
        <w:bottom w:type="dxa" w:w="0"/>
        <w:right w:type="dxa" w:w="0"/>
      </w:tblCellMar>
    </w:tblPr>
  </w:style>
  <w:style w:styleId="Style_162" w:type="table">
    <w:name w:val="Grid Table 6 Colorful - Accent 6"/>
    <w:tblPr>
      <w:tblInd w:type="dxa" w:w="0"/>
      <w:tblBorders>
        <w:top w:sz="4" w:themeColor="accent6" w:val="single"/>
        <w:left w:sz="4" w:themeColor="accent6" w:val="single"/>
        <w:bottom w:sz="4" w:themeColor="accent6" w:val="single"/>
        <w:right w:sz="4" w:themeColor="accent6" w:val="single"/>
        <w:insideH w:sz="4" w:themeColor="accent6" w:val="single"/>
        <w:insideV w:sz="4" w:themeColor="accent6" w:val="single"/>
      </w:tblBorders>
      <w:tblCellMar>
        <w:top w:type="dxa" w:w="0"/>
        <w:left w:type="dxa" w:w="0"/>
        <w:bottom w:type="dxa" w:w="0"/>
        <w:right w:type="dxa" w:w="0"/>
      </w:tblCellMar>
    </w:tblPr>
  </w:style>
  <w:style w:styleId="Style_163" w:type="table">
    <w:name w:val="List Table 1 Light - Accent 4"/>
    <w:tblPr>
      <w:tblInd w:type="dxa" w:w="0"/>
      <w:tblCellMar>
        <w:top w:type="dxa" w:w="0"/>
        <w:left w:type="dxa" w:w="0"/>
        <w:bottom w:type="dxa" w:w="0"/>
        <w:right w:type="dxa" w:w="0"/>
      </w:tblCellMar>
    </w:tblPr>
  </w:style>
  <w:style w:styleId="Style_164" w:type="table">
    <w:name w:val="Grid Table 1 Light - Accent 6"/>
    <w:tblPr>
      <w:tblInd w:type="dxa" w:w="0"/>
      <w:tblBorders>
        <w:top w:sz="4" w:themeColor="accent6" w:themeTint="67" w:val="single"/>
        <w:left w:sz="4" w:themeColor="accent6" w:themeTint="67" w:val="single"/>
        <w:bottom w:sz="4" w:themeColor="accent6" w:themeTint="67" w:val="single"/>
        <w:right w:sz="4" w:themeColor="accent6" w:themeTint="67" w:val="single"/>
        <w:insideH w:sz="4" w:themeColor="accent6" w:themeTint="67" w:val="single"/>
        <w:insideV w:sz="4" w:themeColor="accent6" w:themeTint="67" w:val="single"/>
      </w:tblBorders>
      <w:tblCellMar>
        <w:top w:type="dxa" w:w="0"/>
        <w:left w:type="dxa" w:w="0"/>
        <w:bottom w:type="dxa" w:w="0"/>
        <w:right w:type="dxa" w:w="0"/>
      </w:tblCellMar>
    </w:tblPr>
  </w:style>
  <w:style w:styleId="Style_165" w:type="table">
    <w:name w:val="List Table 6 Colorful - Accent 1"/>
    <w:tblPr>
      <w:tblInd w:type="dxa" w:w="0"/>
      <w:tblBorders>
        <w:top w:sz="4" w:themeColor="accent1" w:val="single"/>
        <w:bottom w:sz="4" w:themeColor="accent1" w:val="single"/>
      </w:tblBorders>
      <w:tblCellMar>
        <w:top w:type="dxa" w:w="0"/>
        <w:left w:type="dxa" w:w="0"/>
        <w:bottom w:type="dxa" w:w="0"/>
        <w:right w:type="dxa" w:w="0"/>
      </w:tblCellMar>
    </w:tblPr>
  </w:style>
  <w:style w:styleId="Style_166" w:type="table">
    <w:name w:val="Grid Table 5 Dark- Accent 4"/>
    <w:tblPr>
      <w:tblInd w:type="dxa" w:w="0"/>
      <w:tblBorders>
        <w:top w:sz="4" w:themeColor="light1" w:val="single"/>
        <w:left w:sz="4" w:themeColor="light1" w:val="single"/>
        <w:bottom w:sz="4" w:themeColor="light1" w:val="single"/>
        <w:right w:sz="4" w:themeColor="light1" w:val="single"/>
        <w:insideH w:sz="4" w:themeColor="light1" w:val="single"/>
        <w:insideV w:sz="4" w:themeColor="light1" w:val="single"/>
      </w:tblBorders>
      <w:tblCellMar>
        <w:top w:type="dxa" w:w="0"/>
        <w:left w:type="dxa" w:w="0"/>
        <w:bottom w:type="dxa" w:w="0"/>
        <w:right w:type="dxa" w:w="0"/>
      </w:tblCellMar>
    </w:tblPr>
  </w:style>
  <w:style w:styleId="Style_167" w:type="table">
    <w:name w:val="Grid Table 1 Light - Accent 5"/>
    <w:tblPr>
      <w:tblInd w:type="dxa" w:w="0"/>
      <w:tblBorders>
        <w:top w:sz="4" w:themeColor="accent5" w:themeTint="67" w:val="single"/>
        <w:left w:sz="4" w:themeColor="accent5" w:themeTint="67" w:val="single"/>
        <w:bottom w:sz="4" w:themeColor="accent5" w:themeTint="67" w:val="single"/>
        <w:right w:sz="4" w:themeColor="accent5" w:themeTint="67" w:val="single"/>
        <w:insideH w:sz="4" w:themeColor="accent5" w:themeTint="67" w:val="single"/>
        <w:insideV w:sz="4" w:themeColor="accent5" w:themeTint="67" w:val="single"/>
      </w:tblBorders>
      <w:tblCellMar>
        <w:top w:type="dxa" w:w="0"/>
        <w:left w:type="dxa" w:w="0"/>
        <w:bottom w:type="dxa" w:w="0"/>
        <w:right w:type="dxa" w:w="0"/>
      </w:tblCellMar>
    </w:tblPr>
  </w:style>
  <w:style w:styleId="Style_168" w:type="table">
    <w:name w:val="List Table 3 - Accent 3"/>
    <w:tblPr>
      <w:tblInd w:type="dxa" w:w="0"/>
      <w:tblBorders>
        <w:top w:sz="4" w:themeColor="accent3" w:themeTint="98" w:val="single"/>
        <w:left w:sz="4" w:themeColor="accent3" w:themeTint="98" w:val="single"/>
        <w:bottom w:sz="4" w:themeColor="accent3" w:themeTint="98" w:val="single"/>
        <w:right w:sz="4" w:themeColor="accent3" w:themeTint="98" w:val="single"/>
      </w:tblBorders>
      <w:tblCellMar>
        <w:top w:type="dxa" w:w="0"/>
        <w:left w:type="dxa" w:w="0"/>
        <w:bottom w:type="dxa" w:w="0"/>
        <w:right w:type="dxa" w:w="0"/>
      </w:tblCellMar>
    </w:tblPr>
  </w:style>
  <w:style w:styleId="Style_169" w:type="table">
    <w:name w:val="Grid Table 4 - Accent 1"/>
    <w:tblPr>
      <w:tblInd w:type="dxa" w:w="0"/>
      <w:tblBorders>
        <w:top w:sz="4" w:themeColor="accent1" w:themeTint="90" w:val="single"/>
        <w:left w:sz="4" w:themeColor="accent1" w:themeTint="90" w:val="single"/>
        <w:bottom w:sz="4" w:themeColor="accent1" w:themeTint="90" w:val="single"/>
        <w:right w:sz="4" w:themeColor="accent1" w:themeTint="90" w:val="single"/>
        <w:insideH w:sz="4" w:themeColor="accent1" w:themeTint="90" w:val="single"/>
        <w:insideV w:sz="4" w:themeColor="accent1" w:themeTint="90" w:val="single"/>
      </w:tblBorders>
      <w:tblCellMar>
        <w:top w:type="dxa" w:w="0"/>
        <w:left w:type="dxa" w:w="0"/>
        <w:bottom w:type="dxa" w:w="0"/>
        <w:right w:type="dxa" w:w="0"/>
      </w:tblCellMar>
    </w:tblPr>
  </w:style>
  <w:style w:styleId="Style_170" w:type="table">
    <w:name w:val="Grid Table 7 Colorful"/>
    <w:tblPr>
      <w:tblInd w:type="dxa" w:w="0"/>
      <w:tblBorders>
        <w:bottom w:sz="4" w:themeColor="text1" w:themeTint="80" w:val="single"/>
        <w:right w:sz="4" w:themeColor="text1" w:themeTint="80" w:val="single"/>
        <w:insideH w:sz="4" w:themeColor="text1" w:themeTint="80" w:val="single"/>
        <w:insideV w:sz="4" w:themeColor="text1" w:themeTint="80" w:val="single"/>
      </w:tblBorders>
      <w:tblCellMar>
        <w:top w:type="dxa" w:w="0"/>
        <w:left w:type="dxa" w:w="0"/>
        <w:bottom w:type="dxa" w:w="0"/>
        <w:right w:type="dxa" w:w="0"/>
      </w:tblCellMar>
    </w:tblPr>
  </w:style>
  <w:style w:styleId="Style_171" w:type="table">
    <w:name w:val="Grid Table 2 - Accent 2"/>
    <w:tblPr>
      <w:tblInd w:type="dxa" w:w="0"/>
      <w:tblBorders>
        <w:bottom w:sz="4" w:themeColor="accent2" w:themeTint="97" w:val="single"/>
        <w:insideH w:sz="4" w:themeColor="accent2" w:themeTint="97" w:val="single"/>
        <w:insideV w:sz="4" w:themeColor="accent2" w:themeTint="97" w:val="single"/>
      </w:tblBorders>
      <w:tblCellMar>
        <w:top w:type="dxa" w:w="0"/>
        <w:left w:type="dxa" w:w="0"/>
        <w:bottom w:type="dxa" w:w="0"/>
        <w:right w:type="dxa" w:w="0"/>
      </w:tblCellMar>
    </w:tblPr>
  </w:style>
  <w:style w:styleId="Style_172" w:type="table">
    <w:name w:val="List Table 4 - Accent 6"/>
    <w:tblPr>
      <w:tblInd w:type="dxa" w:w="0"/>
      <w:tblBorders>
        <w:top w:sz="4" w:themeColor="accent6" w:themeTint="90" w:val="single"/>
        <w:left w:sz="4" w:themeColor="accent6" w:themeTint="90" w:val="single"/>
        <w:bottom w:sz="4" w:themeColor="accent6" w:themeTint="90" w:val="single"/>
        <w:right w:sz="4" w:themeColor="accent6" w:themeTint="90" w:val="single"/>
        <w:insideH w:sz="4" w:themeColor="accent6" w:themeTint="90" w:val="single"/>
      </w:tblBorders>
      <w:tblCellMar>
        <w:top w:type="dxa" w:w="0"/>
        <w:left w:type="dxa" w:w="0"/>
        <w:bottom w:type="dxa" w:w="0"/>
        <w:right w:type="dxa" w:w="0"/>
      </w:tblCellMar>
    </w:tblPr>
  </w:style>
  <w:style w:styleId="Style_173" w:type="table">
    <w:name w:val="Bordered - Accent 3"/>
    <w:tblPr>
      <w:tblInd w:type="dxa" w:w="0"/>
      <w:tblBorders>
        <w:top w:sz="4" w:themeColor="accent3" w:themeTint="67" w:val="single"/>
        <w:left w:sz="4" w:themeColor="accent3" w:themeTint="67" w:val="single"/>
        <w:bottom w:sz="4" w:themeColor="accent3" w:themeTint="67" w:val="single"/>
        <w:right w:sz="4" w:themeColor="accent3" w:themeTint="67" w:val="single"/>
        <w:insideH w:sz="4" w:themeColor="accent3" w:themeTint="67" w:val="single"/>
        <w:insideV w:sz="4" w:themeColor="accent3" w:themeTint="67" w:val="single"/>
      </w:tblBorders>
      <w:tblCellMar>
        <w:top w:type="dxa" w:w="0"/>
        <w:left w:type="dxa" w:w="0"/>
        <w:bottom w:type="dxa" w:w="0"/>
        <w:right w:type="dxa" w:w="0"/>
      </w:tblCellMar>
    </w:tblPr>
  </w:style>
  <w:style w:styleId="Style_174" w:type="table">
    <w:name w:val="Grid Table 6 Colorful - Accent 2"/>
    <w:tblPr>
      <w:tblInd w:type="dxa" w:w="0"/>
      <w:tblBorders>
        <w:top w:sz="4" w:themeColor="accent2" w:themeTint="97" w:val="single"/>
        <w:left w:sz="4" w:themeColor="accent2" w:themeTint="97" w:val="single"/>
        <w:bottom w:sz="4" w:themeColor="accent2" w:themeTint="97" w:val="single"/>
        <w:right w:sz="4" w:themeColor="accent2" w:themeTint="97" w:val="single"/>
        <w:insideH w:sz="4" w:themeColor="accent2" w:themeTint="97" w:val="single"/>
        <w:insideV w:sz="4" w:themeColor="accent2" w:themeTint="97" w:val="single"/>
      </w:tblBorders>
      <w:tblCellMar>
        <w:top w:type="dxa" w:w="0"/>
        <w:left w:type="dxa" w:w="0"/>
        <w:bottom w:type="dxa" w:w="0"/>
        <w:right w:type="dxa" w:w="0"/>
      </w:tblCellMar>
    </w:tblPr>
  </w:style>
  <w:style w:styleId="Style_175" w:type="table">
    <w:name w:val="List Table 5 Dark - Accent 2"/>
    <w:tblPr>
      <w:tblInd w:type="dxa" w:w="0"/>
      <w:tblBorders>
        <w:top w:sz="32" w:themeColor="accent2" w:themeTint="97" w:val="single"/>
        <w:left w:sz="32" w:themeColor="accent2" w:themeTint="97" w:val="single"/>
        <w:bottom w:sz="32" w:themeColor="accent2" w:themeTint="97" w:val="single"/>
        <w:right w:sz="32" w:themeColor="accent2" w:themeTint="97" w:val="single"/>
      </w:tblBorders>
      <w:tblCellMar>
        <w:top w:type="dxa" w:w="0"/>
        <w:left w:type="dxa" w:w="0"/>
        <w:bottom w:type="dxa" w:w="0"/>
        <w:right w:type="dxa" w:w="0"/>
      </w:tblCellMar>
    </w:tblPr>
  </w:style>
  <w:style w:styleId="Style_176" w:type="table">
    <w:name w:val="Grid Table 5 Dark - Accent 2"/>
    <w:tblPr>
      <w:tblInd w:type="dxa" w:w="0"/>
      <w:tblBorders>
        <w:top w:sz="4" w:themeColor="light1" w:val="single"/>
        <w:left w:sz="4" w:themeColor="light1" w:val="single"/>
        <w:bottom w:sz="4" w:themeColor="light1" w:val="single"/>
        <w:right w:sz="4" w:themeColor="light1" w:val="single"/>
        <w:insideH w:sz="4" w:themeColor="light1" w:val="single"/>
        <w:insideV w:sz="4" w:themeColor="light1" w:val="single"/>
      </w:tblBorders>
      <w:tblCellMar>
        <w:top w:type="dxa" w:w="0"/>
        <w:left w:type="dxa" w:w="0"/>
        <w:bottom w:type="dxa" w:w="0"/>
        <w:right w:type="dxa" w:w="0"/>
      </w:tblCellMar>
    </w:tblPr>
  </w:style>
  <w:style w:styleId="Style_177" w:type="table">
    <w:name w:val="List Table 4 - Accent 5"/>
    <w:tblPr>
      <w:tblInd w:type="dxa" w:w="0"/>
      <w:tblBorders>
        <w:top w:sz="4" w:themeColor="accent5" w:themeTint="90" w:val="single"/>
        <w:left w:sz="4" w:themeColor="accent5" w:themeTint="90" w:val="single"/>
        <w:bottom w:sz="4" w:themeColor="accent5" w:themeTint="90" w:val="single"/>
        <w:right w:sz="4" w:themeColor="accent5" w:themeTint="90" w:val="single"/>
        <w:insideH w:sz="4" w:themeColor="accent5" w:themeTint="90" w:val="single"/>
      </w:tblBorders>
      <w:tblCellMar>
        <w:top w:type="dxa" w:w="0"/>
        <w:left w:type="dxa" w:w="0"/>
        <w:bottom w:type="dxa" w:w="0"/>
        <w:right w:type="dxa" w:w="0"/>
      </w:tblCellMar>
    </w:tblPr>
  </w:style>
  <w:style w:styleId="Style_178" w:type="table">
    <w:name w:val="Grid Table 5 Dark - Accent 6"/>
    <w:tblPr>
      <w:tblInd w:type="dxa" w:w="0"/>
      <w:tblBorders>
        <w:top w:sz="4" w:themeColor="light1" w:val="single"/>
        <w:left w:sz="4" w:themeColor="light1" w:val="single"/>
        <w:bottom w:sz="4" w:themeColor="light1" w:val="single"/>
        <w:right w:sz="4" w:themeColor="light1" w:val="single"/>
        <w:insideH w:sz="4" w:themeColor="light1" w:val="single"/>
        <w:insideV w:sz="4" w:themeColor="light1" w:val="single"/>
      </w:tblBorders>
      <w:tblCellMar>
        <w:top w:type="dxa" w:w="0"/>
        <w:left w:type="dxa" w:w="0"/>
        <w:bottom w:type="dxa" w:w="0"/>
        <w:right w:type="dxa" w:w="0"/>
      </w:tblCellMar>
    </w:tblPr>
  </w:style>
  <w:style w:styleId="Style_179" w:type="table">
    <w:name w:val="Grid Table 3 - Accent 6"/>
    <w:tblPr>
      <w:tblInd w:type="dxa" w:w="0"/>
      <w:tblBorders>
        <w:bottom w:sz="4" w:themeColor="accent6" w:val="single"/>
        <w:insideH w:sz="4" w:themeColor="accent6" w:val="single"/>
        <w:insideV w:sz="4" w:themeColor="accent6" w:val="single"/>
      </w:tblBorders>
      <w:tblCellMar>
        <w:top w:type="dxa" w:w="0"/>
        <w:left w:type="dxa" w:w="0"/>
        <w:bottom w:type="dxa" w:w="0"/>
        <w:right w:type="dxa" w:w="0"/>
      </w:tblCellMar>
    </w:tblPr>
  </w:style>
  <w:style w:styleId="Style_180" w:type="table">
    <w:name w:val="List Table 5 Dark - Accent 5"/>
    <w:tblPr>
      <w:tblInd w:type="dxa" w:w="0"/>
      <w:tblBorders>
        <w:top w:sz="32" w:themeColor="accent5" w:themeTint="9A" w:val="single"/>
        <w:left w:sz="32" w:themeColor="accent5" w:themeTint="9A" w:val="single"/>
        <w:bottom w:sz="32" w:themeColor="accent5" w:themeTint="9A" w:val="single"/>
        <w:right w:sz="32" w:themeColor="accent5" w:themeTint="9A" w:val="single"/>
      </w:tblBorders>
      <w:tblCellMar>
        <w:top w:type="dxa" w:w="0"/>
        <w:left w:type="dxa" w:w="0"/>
        <w:bottom w:type="dxa" w:w="0"/>
        <w:right w:type="dxa" w:w="0"/>
      </w:tblCellMar>
    </w:tblPr>
  </w:style>
  <w:style w:styleId="Style_181" w:type="table">
    <w:name w:val="List Table 2 - Accent 4"/>
    <w:tblPr>
      <w:tblInd w:type="dxa" w:w="0"/>
      <w:tblBorders>
        <w:top w:sz="4" w:themeColor="accent4" w:themeTint="90" w:val="single"/>
        <w:bottom w:sz="4" w:themeColor="accent4" w:themeTint="90" w:val="single"/>
        <w:insideH w:sz="4" w:themeColor="accent4" w:themeTint="90" w:val="single"/>
      </w:tblBorders>
      <w:tblCellMar>
        <w:top w:type="dxa" w:w="0"/>
        <w:left w:type="dxa" w:w="0"/>
        <w:bottom w:type="dxa" w:w="0"/>
        <w:right w:type="dxa" w:w="0"/>
      </w:tblCellMar>
    </w:tblPr>
  </w:style>
  <w:style w:styleId="Style_182" w:type="table">
    <w:name w:val="Grid Table 2 - Accent 1"/>
    <w:tblPr>
      <w:tblInd w:type="dxa" w:w="0"/>
      <w:tblBorders>
        <w:bottom w:sz="4" w:themeColor="accent1" w:themeTint="EA" w:val="single"/>
        <w:insideH w:sz="4" w:themeColor="accent1" w:themeTint="EA" w:val="single"/>
        <w:insideV w:sz="4" w:themeColor="accent1" w:themeTint="EA" w:val="single"/>
      </w:tblBorders>
      <w:tblCellMar>
        <w:top w:type="dxa" w:w="0"/>
        <w:left w:type="dxa" w:w="0"/>
        <w:bottom w:type="dxa" w:w="0"/>
        <w:right w:type="dxa" w:w="0"/>
      </w:tblCellMar>
    </w:tblPr>
  </w:style>
  <w:style w:styleId="Style_183" w:type="table">
    <w:name w:val="Grid Table 4 - Accent 3"/>
    <w:tblPr>
      <w:tblInd w:type="dxa" w:w="0"/>
      <w:tblBorders>
        <w:top w:sz="4" w:themeColor="accent3" w:themeTint="90" w:val="single"/>
        <w:left w:sz="4" w:themeColor="accent3" w:themeTint="90" w:val="single"/>
        <w:bottom w:sz="4" w:themeColor="accent3" w:themeTint="90" w:val="single"/>
        <w:right w:sz="4" w:themeColor="accent3" w:themeTint="90" w:val="single"/>
        <w:insideH w:sz="4" w:themeColor="accent3" w:themeTint="90" w:val="single"/>
        <w:insideV w:sz="4" w:themeColor="accent3" w:themeTint="90" w:val="single"/>
      </w:tblBorders>
      <w:tblCellMar>
        <w:top w:type="dxa" w:w="0"/>
        <w:left w:type="dxa" w:w="0"/>
        <w:bottom w:type="dxa" w:w="0"/>
        <w:right w:type="dxa" w:w="0"/>
      </w:tblCellMar>
    </w:tblPr>
  </w:style>
  <w:style w:styleId="Style_184" w:type="table">
    <w:name w:val="Bordered &amp; Lined - Accent 4"/>
    <w:rPr>
      <w:color w:val="404040"/>
    </w:rPr>
    <w:tblPr>
      <w:tblInd w:type="dxa" w:w="0"/>
      <w:tblBorders>
        <w:top w:sz="4" w:themeColor="accent4" w:themeShade="95" w:val="single"/>
        <w:left w:sz="4" w:themeColor="accent4" w:themeShade="95" w:val="single"/>
        <w:bottom w:sz="4" w:themeColor="accent4" w:themeShade="95" w:val="single"/>
        <w:right w:sz="4" w:themeColor="accent4" w:themeShade="95" w:val="single"/>
        <w:insideH w:sz="4" w:themeColor="accent4" w:themeShade="95" w:val="single"/>
        <w:insideV w:sz="4" w:themeColor="accent4" w:themeShade="95" w:val="single"/>
      </w:tblBorders>
      <w:tblCellMar>
        <w:top w:type="dxa" w:w="0"/>
        <w:left w:type="dxa" w:w="0"/>
        <w:bottom w:type="dxa" w:w="0"/>
        <w:right w:type="dxa" w:w="0"/>
      </w:tblCellMar>
    </w:tblPr>
  </w:style>
  <w:style w:styleId="Style_185" w:type="table">
    <w:name w:val="Grid Table 7 Colorful - Accent 3"/>
    <w:tblPr>
      <w:tblInd w:type="dxa" w:w="0"/>
      <w:tblBorders>
        <w:bottom w:sz="4" w:themeColor="accent3" w:themeTint="FE" w:val="single"/>
        <w:right w:sz="4" w:themeColor="accent3" w:themeTint="FE" w:val="single"/>
        <w:insideH w:sz="4" w:themeColor="accent3" w:themeTint="FE" w:val="single"/>
        <w:insideV w:sz="4" w:themeColor="accent3" w:themeTint="FE" w:val="single"/>
      </w:tblBorders>
      <w:tblCellMar>
        <w:top w:type="dxa" w:w="0"/>
        <w:left w:type="dxa" w:w="0"/>
        <w:bottom w:type="dxa" w:w="0"/>
        <w:right w:type="dxa" w:w="0"/>
      </w:tblCellMar>
    </w:tblPr>
  </w:style>
  <w:style w:styleId="Style_186" w:type="table">
    <w:name w:val="Lined - Accent 2"/>
    <w:rPr>
      <w:color w:val="404040"/>
    </w:rPr>
    <w:tblPr>
      <w:tblInd w:type="dxa" w:w="0"/>
      <w:tblCellMar>
        <w:top w:type="dxa" w:w="0"/>
        <w:left w:type="dxa" w:w="0"/>
        <w:bottom w:type="dxa" w:w="0"/>
        <w:right w:type="dxa" w:w="0"/>
      </w:tblCellMar>
    </w:tblPr>
  </w:style>
  <w:style w:styleId="Style_187" w:type="table">
    <w:name w:val="List Table 6 Colorful - Accent 6"/>
    <w:tblPr>
      <w:tblInd w:type="dxa" w:w="0"/>
      <w:tblBorders>
        <w:top w:sz="4" w:themeColor="accent6" w:themeTint="98" w:val="single"/>
        <w:bottom w:sz="4" w:themeColor="accent6" w:themeTint="98" w:val="single"/>
      </w:tblBorders>
      <w:tblCellMar>
        <w:top w:type="dxa" w:w="0"/>
        <w:left w:type="dxa" w:w="0"/>
        <w:bottom w:type="dxa" w:w="0"/>
        <w:right w:type="dxa" w:w="0"/>
      </w:tblCellMar>
    </w:tblPr>
  </w:style>
  <w:style w:styleId="Style_188" w:type="table">
    <w:name w:val="Grid Table 3 - Accent 4"/>
    <w:tblPr>
      <w:tblInd w:type="dxa" w:w="0"/>
      <w:tblBorders>
        <w:bottom w:sz="4" w:themeColor="accent4" w:themeTint="9A" w:val="single"/>
        <w:insideH w:sz="4" w:themeColor="accent4" w:themeTint="9A" w:val="single"/>
        <w:insideV w:sz="4" w:themeColor="accent4" w:themeTint="9A" w:val="single"/>
      </w:tblBorders>
      <w:tblCellMar>
        <w:top w:type="dxa" w:w="0"/>
        <w:left w:type="dxa" w:w="0"/>
        <w:bottom w:type="dxa" w:w="0"/>
        <w:right w:type="dxa" w:w="0"/>
      </w:tblCellMar>
    </w:tblPr>
  </w:style>
  <w:style w:styleId="Style_189" w:type="table">
    <w:name w:val="Grid Table 6 Colorful - Accent 4"/>
    <w:tblPr>
      <w:tblInd w:type="dxa" w:w="0"/>
      <w:tblBorders>
        <w:top w:sz="4" w:themeColor="accent4" w:themeTint="9A" w:val="single"/>
        <w:left w:sz="4" w:themeColor="accent4" w:themeTint="9A" w:val="single"/>
        <w:bottom w:sz="4" w:themeColor="accent4" w:themeTint="9A" w:val="single"/>
        <w:right w:sz="4" w:themeColor="accent4" w:themeTint="9A" w:val="single"/>
        <w:insideH w:sz="4" w:themeColor="accent4" w:themeTint="9A" w:val="single"/>
        <w:insideV w:sz="4" w:themeColor="accent4" w:themeTint="9A" w:val="single"/>
      </w:tblBorders>
      <w:tblCellMar>
        <w:top w:type="dxa" w:w="0"/>
        <w:left w:type="dxa" w:w="0"/>
        <w:bottom w:type="dxa" w:w="0"/>
        <w:right w:type="dxa" w:w="0"/>
      </w:tblCellMar>
    </w:tblPr>
  </w:style>
  <w:style w:styleId="Style_190" w:type="table">
    <w:name w:val="Grid Table 1 Light - Accent 1"/>
    <w:tblPr>
      <w:tblInd w:type="dxa" w:w="0"/>
      <w:tblBorders>
        <w:top w:sz="4" w:themeColor="accent1" w:themeTint="67" w:val="single"/>
        <w:left w:sz="4" w:themeColor="accent1" w:themeTint="67" w:val="single"/>
        <w:bottom w:sz="4" w:themeColor="accent1" w:themeTint="67" w:val="single"/>
        <w:right w:sz="4" w:themeColor="accent1" w:themeTint="67" w:val="single"/>
        <w:insideH w:sz="4" w:themeColor="accent1" w:themeTint="67" w:val="single"/>
        <w:insideV w:sz="4" w:themeColor="accent1" w:themeTint="67" w:val="single"/>
      </w:tblBorders>
      <w:tblCellMar>
        <w:top w:type="dxa" w:w="0"/>
        <w:left w:type="dxa" w:w="0"/>
        <w:bottom w:type="dxa" w:w="0"/>
        <w:right w:type="dxa" w:w="0"/>
      </w:tblCellMar>
    </w:tblPr>
  </w:style>
  <w:style w:styleId="Style_191" w:type="table">
    <w:name w:val="List Table 7 Colorful - Accent 5"/>
    <w:tblPr>
      <w:tblInd w:type="dxa" w:w="0"/>
      <w:tblBorders>
        <w:right w:sz="4" w:themeColor="accent5" w:themeTint="9A" w:val="single"/>
      </w:tblBorders>
      <w:tblCellMar>
        <w:top w:type="dxa" w:w="0"/>
        <w:left w:type="dxa" w:w="0"/>
        <w:bottom w:type="dxa" w:w="0"/>
        <w:right w:type="dxa" w:w="0"/>
      </w:tblCellMar>
    </w:tblPr>
  </w:style>
  <w:style w:styleId="Style_192" w:type="table">
    <w:name w:val="List Table 3 - Accent 6"/>
    <w:tblPr>
      <w:tblInd w:type="dxa" w:w="0"/>
      <w:tblBorders>
        <w:top w:sz="4" w:themeColor="accent6" w:themeTint="98" w:val="single"/>
        <w:left w:sz="4" w:themeColor="accent6" w:themeTint="98" w:val="single"/>
        <w:bottom w:sz="4" w:themeColor="accent6" w:themeTint="98" w:val="single"/>
        <w:right w:sz="4" w:themeColor="accent6" w:themeTint="98" w:val="single"/>
      </w:tblBorders>
      <w:tblCellMar>
        <w:top w:type="dxa" w:w="0"/>
        <w:left w:type="dxa" w:w="0"/>
        <w:bottom w:type="dxa" w:w="0"/>
        <w:right w:type="dxa" w:w="0"/>
      </w:tblCellMar>
    </w:tblPr>
  </w:style>
  <w:style w:styleId="Style_193" w:type="table">
    <w:name w:val="List Table 1 Light - Accent 1"/>
    <w:tblPr>
      <w:tblInd w:type="dxa" w:w="0"/>
      <w:tblCellMar>
        <w:top w:type="dxa" w:w="0"/>
        <w:left w:type="dxa" w:w="0"/>
        <w:bottom w:type="dxa" w:w="0"/>
        <w:right w:type="dxa" w:w="0"/>
      </w:tblCellMar>
    </w:tblPr>
  </w:style>
  <w:style w:styleId="Style_194" w:type="table">
    <w:name w:val="Table Grid Light"/>
    <w:tblPr>
      <w:tblInd w:type="dxa" w:w="0"/>
      <w:tblBorders>
        <w:top w:sz="4" w:themeColor="text1" w:themeTint="50" w:val="single"/>
        <w:left w:sz="4" w:themeColor="text1" w:themeTint="50" w:val="single"/>
        <w:bottom w:sz="4" w:themeColor="text1" w:themeTint="50" w:val="single"/>
        <w:right w:sz="4" w:themeColor="text1" w:themeTint="50" w:val="single"/>
        <w:insideH w:sz="4" w:themeColor="text1" w:themeTint="50" w:val="single"/>
        <w:insideV w:sz="4" w:themeColor="text1" w:themeTint="50" w:val="single"/>
      </w:tblBorders>
      <w:tblCellMar>
        <w:top w:type="dxa" w:w="0"/>
        <w:left w:type="dxa" w:w="108"/>
        <w:bottom w:type="dxa" w:w="0"/>
        <w:right w:type="dxa" w:w="108"/>
      </w:tblCellMar>
    </w:tblPr>
  </w:style>
  <w:style w:styleId="Style_195" w:type="table">
    <w:name w:val="List Table 6 Colorful - Accent 2"/>
    <w:tblPr>
      <w:tblInd w:type="dxa" w:w="0"/>
      <w:tblBorders>
        <w:top w:sz="4" w:themeColor="accent2" w:themeTint="97" w:val="single"/>
        <w:bottom w:sz="4" w:themeColor="accent2" w:themeTint="97" w:val="single"/>
      </w:tblBorders>
      <w:tblCellMar>
        <w:top w:type="dxa" w:w="0"/>
        <w:left w:type="dxa" w:w="0"/>
        <w:bottom w:type="dxa" w:w="0"/>
        <w:right w:type="dxa" w:w="0"/>
      </w:tblCellMar>
    </w:tblPr>
  </w:style>
  <w:style w:styleId="Style_196" w:type="table">
    <w:name w:val="List Table 1 Light"/>
    <w:tblPr>
      <w:tblInd w:type="dxa" w:w="0"/>
      <w:tblCellMar>
        <w:top w:type="dxa" w:w="0"/>
        <w:left w:type="dxa" w:w="0"/>
        <w:bottom w:type="dxa" w:w="0"/>
        <w:right w:type="dxa" w:w="0"/>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3" Target="stylesWithEffects.xml" Type="http://schemas.microsoft.com/office/2007/relationships/stylesWithEffects"/>
  <Relationship Id="rId11" Target="settings.xml" Type="http://schemas.openxmlformats.org/officeDocument/2006/relationships/settings"/>
  <Relationship Id="rId10" Target="fontTable.xml" Type="http://schemas.openxmlformats.org/officeDocument/2006/relationships/fontTable"/>
  <Relationship Id="rId15" Target="theme/theme1.xml" Type="http://schemas.openxmlformats.org/officeDocument/2006/relationships/theme"/>
  <Relationship Id="rId9" Target="media/8.emf" Type="http://schemas.openxmlformats.org/officeDocument/2006/relationships/image"/>
  <Relationship Id="rId8" Target="media/7.emf" Type="http://schemas.openxmlformats.org/officeDocument/2006/relationships/image"/>
  <Relationship Id="rId7" Target="media/6.png" Type="http://schemas.openxmlformats.org/officeDocument/2006/relationships/image"/>
  <Relationship Id="rId14" Target="webSettings.xml" Type="http://schemas.openxmlformats.org/officeDocument/2006/relationships/webSettings"/>
  <Relationship Id="rId6" Target="media/5.png" Type="http://schemas.openxmlformats.org/officeDocument/2006/relationships/image"/>
  <Relationship Id="rId5" Target="media/4.png" Type="http://schemas.openxmlformats.org/officeDocument/2006/relationships/image"/>
  <Relationship Id="rId16" Target="numbering.xml" Type="http://schemas.openxmlformats.org/officeDocument/2006/relationships/numbering"/>
  <Relationship Id="rId4" Target="media/3.png" Type="http://schemas.openxmlformats.org/officeDocument/2006/relationships/image"/>
  <Relationship Id="rId12" Target="styles.xml" Type="http://schemas.openxmlformats.org/officeDocument/2006/relationships/styles"/>
  <Relationship Id="rId3" Target="media/2.png" Type="http://schemas.openxmlformats.org/officeDocument/2006/relationships/imag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New 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
        <a:cs typeface=""/>
      </a:majorFont>
      <a:minorFont>
        <a:latin typeface="Arial"/>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6350">
          <a:solidFill>
            <a:schemeClr val="phClr">
              <a:shade val="95000"/>
              <a:satMod val="105000"/>
            </a:scheme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MyOffice-CoreFramework-Android/30-1057.739.7919.691.1@89f4a034c81d4209c3ded56ae0069fc9a02e31e4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2023-09-04T06:37:23Z</dcterms:modified>
</cp:coreProperties>
</file>